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5A_309/2023 vom 3. April 2024</w:t>
      </w:r>
    </w:p>
    <w:p>
      <w:r>
        <w:t>Bundesgericht, 2024-04-03, IT</w:t>
      </w:r>
    </w:p>
    <w:p>
      <w:r>
        <w:rPr>
          <w:b/>
        </w:rPr>
        <w:t xml:space="preserve">Quelle: </w:t>
      </w:r>
      <w:r>
        <w:t>https://mcp.opencaselaw.ch/entscheid/bger_5A_309_2023</w:t>
      </w:r>
    </w:p>
    <w:p>
      <w:r>
        <w:t>FR: TF 5A_309/2023 du 3 avril 2024</w:t>
      </w:r>
    </w:p>
    <w:p>
      <w:r>
        <w:t>IT: TF 5A_309/2023 del 3 aprile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 la conferma integrale della sentenza impugnata, non si giustifica nemmeno più un esame della richiesta relativa ad una diversa ripartizione delle spese e ripetibili della procedura cantonale.</w:t>
      </w:r>
    </w:p>
    <w:p>
      <w:r>
        <w:rPr>
          <w:b/>
        </w:rPr>
        <w:t>E. 5</w:t>
      </w:r>
    </w:p>
    <w:p>
      <w:r>
        <w:t>Da quanto precede discende che il ricorso, per quanto ammissibile, va respinto. Le spese giudiziarie seguono la soccombenza ( art. 66 cpv. 1 LTF ). L'opponente ha unicamente dovuto pronunciarsi sulla domanda di conferimento dell'effetto sospensivo, risultando parzialmente soccombente; in tali circostanze non si giustifica assegnarle ripetibili per la sede federale, ma, visto l'esito della procedura di misure d'urgenza, occorre ritenere le stesse compensate ( art. 68 cpv. 1 e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