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 309/2010 vom 8. Juni 2010</w:t>
      </w:r>
    </w:p>
    <w:p>
      <w:r>
        <w:t>Bundesgericht, 2010-06-08, FR</w:t>
      </w:r>
    </w:p>
    <w:p>
      <w:r>
        <w:rPr>
          <w:b/>
        </w:rPr>
        <w:t xml:space="preserve">Quelle: </w:t>
      </w:r>
      <w:r>
        <w:t>https://mcp.opencaselaw.ch/entscheid/bger_5A_309_2010</w:t>
      </w:r>
    </w:p>
    <w:p>
      <w:r>
        <w:t>FR: TF 5A 309/2010 du 8 juin 2010</w:t>
      </w:r>
    </w:p>
    <w:p>
      <w:r>
        <w:t>IT: TF 5A 309/2010 del 8 giugno 2010</w:t>
      </w:r>
    </w:p>
    <w:p>
      <w:pPr>
        <w:pStyle w:val="Heading2"/>
      </w:pPr>
      <w:r>
        <w:t>Regeste</w:t>
      </w:r>
    </w:p>
    <w:p>
      <w:r>
        <w:t>succession (communication de dispositions testamentaires) | Droit des successions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Le recours a été interjeté - compte tenu des féries de Pâques ( art. 46 al. 1 let. a LTF ) - dans le délai légal ( art. 100 al. 1 LTF ), contre une décision de nature non pécuniaire rendue en matière civile ( art. 72 LTF ).</w:t>
      </w:r>
    </w:p>
    <w:p>
      <w:r>
        <w:rPr>
          <w:b/>
        </w:rPr>
        <w:t>E. 1.2.1</w:t>
      </w:r>
    </w:p>
    <w:p>
      <w:r>
        <w:t>La qualité pour former un recours en matière civile suppose que le recourant ait un intérêt juridique à l'annulation ou à la modification de la décision attaquée ( art. 76 al. 1 let. b LTF ; ATF 133 III 421 consid. 1.1 et les références citées). Si le Tribunal fédéral examine d'office et librement la recevabilité des recours qui lui sont soumis ( ATF 133 III 439 consid. 2), il incombe au recourant d'alléguer les faits qu'il considère comme propres à fonder sa qualité pour recourir lorsqu'ils ne ressortent pas à l'évidence de la décision attaquée ou du dossier de la cause, de telle sorte que le Tribunal fédéral puisse déterminer en quoi la décision attaquée porte une atteinte à ses intérêts juridiques ( ATF 133 II 353 consid. 1, 249 consid. 1.1, 400 consid. 2; arrêt 5A_647/2007 du 25 mars 2008 consid. 1.2).</w:t>
      </w:r>
    </w:p>
    <w:p>
      <w:r>
        <w:rPr>
          <w:b/>
        </w:rPr>
        <w:t>E. 1.2.2</w:t>
      </w:r>
    </w:p>
    <w:p>
      <w:r>
        <w:t>En l'espèce, l'intérêt juridique des recourants à l'annulation ou à la modification de la décision attaquée, prise en application de l' art. 558 al. 1 CC , n'est pas évident. En effet, jurisprudence et doctrine subordonnent le droit d'ester en justice de l'exécuteur testamentaire dans des procès successoraux - dont relèvent les décisions en matière de mesures de sûreté des art. 551 ss CC - à la condition qu'ils concernent sa désignation, sa position ou ses fonctions ( ATF 111 II 16 consid. 2; 103 II 84 consid. 1; 86 II 340 consid. 1; 85 II 597 consid. 3; KARRER, Basler Kommentar, 3e éd., 2007, n. 68 ss, spéc. n. 85 ad art. 518 CC ; STEINAUER, Droit des successions, 2006, n. 1184 s.; PIOTET, Traité de droit privé suisse, IV, 2e éd., 1988, p. 151 s.; TUOR, Berner Kommentar, 2e éd., 1952, n. 31 ss ad art. 518 CC ; ESCHER, Zürcher Kommentar, 3e éd., 1959, n. 28 ss ad art. 518 CC ; BOSON, Les mesures de sûreté en droit successoral, in Revue valaisanne de jurisprudence [RVJ] 2010, p. 102 ss, spéc. p. 106 s.; SUTTER-SOMM/CHEVALIER, Die prozessuallen Befugnisse des Willensvollstreckers, in Revue de droit des successions 2007, p. 22 ss; EITEL, Prozessführung durch den Willensvollstrecker, in KÜNZLE, Willensvollstreckung-Aktuelle Rechtsprobleme (2) 2006, p. 125 ss, spéc. 150 ss). Or, les recourants n'allèguent aucun élément qui permettrait de déterminer en quoi, en leur qualité d'exécuteurs testamentaires, ils seraient habilités à recourir contre la décision invitant la Justice de paix à délivrer à l'intimé une copie du testament public sur lequel sont fondés leurs pouvoirs ou, en d'autres termes, en quoi la loi leur conférerait un droit à empêcher l'intimé d'obtenir dite copie. La seule indication de leur participation à la procédure devant l'instance inférieure se révèle manifestement insuffisante pour satisfaire aux exigences susmentionnées (cf. consid. 1.2.1 supra).</w:t>
      </w:r>
    </w:p>
    <w:p>
      <w:r>
        <w:rPr>
          <w:b/>
        </w:rPr>
        <w:t>E. 2</w:t>
      </w:r>
    </w:p>
    <w:p>
      <w:r>
        <w:t>Sur le vu de ce qui précède, le recours est irrecevable. Les recourants, qui succombent, supporteront les frais de la procédure ( art. 66 al. 1 LTF ). Il n'y a pas lieu d'allouer de dépens à l'intimé qui n'a pas été invité à répondre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