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5A_308/2025 vom 28. April 2025</w:t>
      </w:r>
    </w:p>
    <w:p>
      <w:r>
        <w:t>Bundesgericht, 2025-04-28, DE</w:t>
      </w:r>
    </w:p>
    <w:p>
      <w:r>
        <w:rPr>
          <w:b/>
        </w:rPr>
        <w:t xml:space="preserve">Quelle: </w:t>
      </w:r>
      <w:r>
        <w:t>https://mcp.opencaselaw.ch/entscheid/bger_5A_308_2025</w:t>
      </w:r>
    </w:p>
    <w:p>
      <w:r>
        <w:t>FR: TF 5A_308/2025 du 28 avril 2025</w:t>
      </w:r>
    </w:p>
    <w:p>
      <w:r>
        <w:t>IT: TF 5A_308/2025 del 28 aprile 2025</w:t>
      </w:r>
    </w:p>
    <w:p>
      <w:pPr>
        <w:pStyle w:val="Heading2"/>
      </w:pPr>
      <w:r>
        <w:t>Erwägungen</w:t>
      </w:r>
    </w:p>
    <w:p>
      <w:r>
        <w:rPr>
          <w:b/>
        </w:rPr>
        <w:t>E. 1</w:t>
      </w:r>
    </w:p>
    <w:p>
      <w:r>
        <w:t>Gegen den angefochtenen Entscheid steht die Beschwerde in Zivilsachen zur Verfügung ( Art. 72 Abs. 2 lit. a, Art. 74 Abs. 2 lit. d, Art. 75 Abs. 1 und Art. 90 BGG ).</w:t>
      </w:r>
    </w:p>
    <w:p>
      <w:r>
        <w:rPr>
          <w:b/>
        </w:rPr>
        <w:t>E. 2</w:t>
      </w:r>
    </w:p>
    <w:p>
      <w:r>
        <w:t>Die Beschwerde ist entgegen den Anforderungen von Art. 42 Abs. 1 BGG nicht unterzeichnet. Eine auf Art. 42 Abs. 5 BGG gestützte Rückweisung zur Verbesserung des Mangels erübrigt sich aber insofern, als die Beschwerde ohnehin unbegründet bleibt (dazu E. 4) und deshalb nicht auf sie einzutreten ist (dazu E. 5).</w:t>
      </w:r>
    </w:p>
    <w:p>
      <w:r>
        <w:rPr>
          <w:b/>
        </w:rPr>
        <w:t>E. 3</w:t>
      </w:r>
    </w:p>
    <w:p>
      <w:r>
        <w:t>Vorliegend ist zu beachten, dass das Obergericht auf das Rechtsmittel der Beschwerdeführerin mangels fristgerechter Leistung des Kostenvorschusses nicht eingetreten ist. Anfechtungsgegenstand kann deshalb grundsätzlich nur die Frage bilden, ob es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4</w:t>
      </w:r>
    </w:p>
    <w:p>
      <w:r>
        <w:t>Die Beschwerdeführerin äussert sich mit keinem Wort zur verpassten Frist und den entsprechenden Nichteintretenserwägungen. Vielmehr macht sie Ausführungen zu den Hintergründen der in ihren Augen unberechtigten Konkursforderung; dies steht jedoch ausserhalb des möglichen Anfechtungsgegenstandes (vgl. E. 3).</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