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5A_307/2018 vom 28. Dezember 2021</w:t>
      </w:r>
    </w:p>
    <w:p>
      <w:r>
        <w:t>Bundesgericht, 2021-12-28, IT</w:t>
      </w:r>
    </w:p>
    <w:p>
      <w:r>
        <w:rPr>
          <w:b/>
        </w:rPr>
        <w:t xml:space="preserve">Quelle: </w:t>
      </w:r>
      <w:r>
        <w:t>https://mcp.opencaselaw.ch/entscheid/bger_5A_307_2018</w:t>
      </w:r>
    </w:p>
    <w:p>
      <w:r>
        <w:t>FR: TF 5A_307/2018 du 28 décembre 2021</w:t>
      </w:r>
    </w:p>
    <w:p>
      <w:r>
        <w:t>IT: TF 5A_307/2018 del 28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S.p.A.,</w:t>
      </w:r>
    </w:p>
    <w:p>
      <w:r>
        <w:rPr>
          <w:b/>
        </w:rPr>
        <w:t>E. 2</w:t>
      </w:r>
    </w:p>
    <w:p>
      <w:r>
        <w:t>B.________ S.p.A.</w:t>
      </w:r>
    </w:p>
    <w:p>
      <w:r>
        <w:rPr>
          <w:b/>
        </w:rPr>
        <w:t>E. 3</w:t>
      </w:r>
    </w:p>
    <w:p>
      <w:r>
        <w:t>C.________ S.r.l.,</w:t>
      </w:r>
    </w:p>
    <w:p>
      <w:r>
        <w:rPr>
          <w:b/>
        </w:rPr>
        <w:t>E. 4</w:t>
      </w:r>
    </w:p>
    <w:p>
      <w:r>
        <w:t>D.________ S.p.A.,</w:t>
      </w:r>
    </w:p>
    <w:p>
      <w:r>
        <w:rPr>
          <w:b/>
        </w:rPr>
        <w:t>E. 5</w:t>
      </w:r>
    </w:p>
    <w:p>
      <w:r>
        <w:t>E.________ S.c.a.r.l.,</w:t>
      </w:r>
    </w:p>
    <w:p>
      <w:r>
        <w:rPr>
          <w:b/>
        </w:rPr>
        <w:t>E. 6</w:t>
      </w:r>
    </w:p>
    <w:p>
      <w:r>
        <w:t>F.________ S.r.l.,</w:t>
      </w:r>
    </w:p>
    <w:p>
      <w:r>
        <w:rPr>
          <w:b/>
        </w:rPr>
        <w:t>E. 7</w:t>
      </w:r>
    </w:p>
    <w:p>
      <w:r>
        <w:t>G.________ S.p.A.,</w:t>
      </w:r>
    </w:p>
    <w:p>
      <w:r>
        <w:rPr>
          <w:b/>
        </w:rPr>
        <w:t>E. 8</w:t>
      </w:r>
    </w:p>
    <w:p>
      <w:r>
        <w:t>H.________ S.p.A.,</w:t>
      </w:r>
    </w:p>
    <w:p>
      <w:r>
        <w:t>tutte patrocinate dall'avv. Mariella Orelli,</w:t>
      </w:r>
    </w:p>
    <w:p>
      <w:r>
        <w:t>ricorrenti,</w:t>
      </w:r>
    </w:p>
    <w:p>
      <w:r>
        <w:t>contro</w:t>
      </w:r>
    </w:p>
    <w:p>
      <w:r>
        <w:t>† K.________,</w:t>
      </w:r>
    </w:p>
    <w:p>
      <w:r>
        <w:t>patrocinato dall'avv. Maurizio Agustoni,</w:t>
      </w:r>
    </w:p>
    <w:p>
      <w:r>
        <w:t>opponente.</w:t>
      </w:r>
    </w:p>
    <w:p>
      <w:r>
        <w:t>Oggetto</w:t>
      </w:r>
    </w:p>
    <w:p>
      <w:r>
        <w:t>rigetto definitivo dell'opposizione,</w:t>
      </w:r>
    </w:p>
    <w:p>
      <w:r>
        <w:t>ricorso contro la sentenza emanata il 27 marzo 2018 dalla Camera di esecuzione e fallimenti del Tribunale d'appello del Cantone Ticino (14.2017.178, 14.2017.179, 14.2017.180).</w:t>
      </w:r>
    </w:p>
    <w:p>
      <w:r>
        <w:t>Considerando:</w:t>
      </w:r>
    </w:p>
    <w:p>
      <w:r>
        <w:t>che, a convalida di un precedente sequestro, A.________ S.p.A., B.________ S.p.A., C.________ S.r.l., D.________ S.p.A., E.________ S.c.a.r.l., F.________ S.r.l., G.________ S.p.A. e H.________ S.p.A. hanno escusso in solido K.________, I.________ e J.________ (mediante tre distinti precetti esecutivi) per l'incasso di fr. 145'832'263.25 oltre interessi;</w:t>
      </w:r>
    </w:p>
    <w:p>
      <w:r>
        <w:t>che con decisione 21 settembre 2017 il Pretore del Distretto di Lugano ha respinto l'istanza mediante la quale le creditrici hanno chiesto il rigetto definitivo dell'opposizione interposta da K.________ al precetto esecutivo emesso nei suoi confronti;</w:t>
      </w:r>
    </w:p>
    <w:p>
      <w:r>
        <w:t>che con sentenza 27 marzo 2018 la Camera di esecuzione e fallimenti del Tribunale d'appello del Cantone Ticino ha respinto il reclamo introdotto dalle creditrici avverso tale decisione pretorile;</w:t>
      </w:r>
    </w:p>
    <w:p>
      <w:r>
        <w:t>che con ricorso in materia civile 6 aprile 2018 (poi completato in data 8 maggio 2018) le creditrici hanno impugnato la sentenza cantonale dinanzi al Tribunale federale;</w:t>
      </w:r>
    </w:p>
    <w:p>
      <w:r>
        <w:t>che con decreto 24 maggio 2018 al ricorso è stato conferito il postulato effetto sospensivo e la procedura dinanzi al Tribunale federale è stata sospesa in seguito al decesso della parte opponente in attesa di chiarire il subentro degli eredi;</w:t>
      </w:r>
    </w:p>
    <w:p>
      <w:r>
        <w:t>che con scritto 3 dicembre 2021 le ricorrenti hanno chiesto al Tribunale federale "lo stralcio del ricorso in quanto divenuto privo di oggetto" a seguito di un accordo transattivo raggiunto tra le parti (accordo che avrebbe portato al ritiro dell'esecuzione alla base del presente procedimento) e hanno postulato, come da transazione, di porre le spese giudiziarie a carico di chi le ha anticipate (con eventuale restituzione dell'anticipo di causa) e di compensare le ripetibili;</w:t>
      </w:r>
    </w:p>
    <w:p>
      <w:r>
        <w:t>che il patrocinatore della controparte non ha preso posizione su tale scritto;</w:t>
      </w:r>
    </w:p>
    <w:p>
      <w:r>
        <w:t>che, siccome la transazione non è stata consegnata a questo Tribunale, la domanda di stralcio presentata dalle ricorrenti va interpretata quale ritiro del ricorso ( cfr. MATTHIAS HÄRRI, in Basler Kommentar, Bundesgerichtsgesetz, 3</w:t>
      </w:r>
    </w:p>
    <w:p>
      <w:r>
        <w:t>a ed. 2018, n. 17 ad art. 32 LTF ; FLORENCE AUBRY GIRARDIN, in Commentaire de la LTF, 2a ed. 2014, n. 23 ad art. 32 LTF );</w:t>
      </w:r>
    </w:p>
    <w:p>
      <w:r>
        <w:t>che la Giudice presidente della Corte adita, competente in virtù dell' art. 32 cpv. 1 e 2 LTF , non può far altro che prendere atto del ritiro del ricorso e disporre lo stralcio della causa dai ruoli ( art. 71 LTF in relazione con l' art. 73 cpv. 1 PC );</w:t>
      </w:r>
    </w:p>
    <w:p>
      <w:r>
        <w:t>che, come da accordo intervenuto fra le parti, le spese giudiziarie della presente procedura - ridotte in applicazione dell' art. 66 cpv. 2 LTF considerato lo stadio della procedura nel quale è avvenuto il ritiro - rimangono a carico di chi le ha anticipate, vale a dire delle ricorrenti, e le ripetibili sono compensate;</w:t>
      </w:r>
    </w:p>
    <w:p>
      <w:r>
        <w:t>per questi motivi, la Giudice presidente decreta:</w:t>
      </w:r>
    </w:p>
    <w:p>
      <w:r>
        <w:t>1.</w:t>
      </w:r>
    </w:p>
    <w:p>
      <w:r>
        <w:t>La causa è stralciata dai ruoli a seguito del ritiro del ricorso.</w:t>
      </w:r>
    </w:p>
    <w:p>
      <w:r>
        <w:t>2.</w:t>
      </w:r>
    </w:p>
    <w:p>
      <w:r>
        <w:t>Le spese giudiziarie di fr. 2'000.-- sono poste a carico delle ricorrenti. Le ripetibili sono compensate.</w:t>
      </w:r>
    </w:p>
    <w:p>
      <w:r>
        <w:t>3.</w:t>
      </w:r>
    </w:p>
    <w:p>
      <w:r>
        <w:t>Comunicazione ai patrocinatori delle parti e alla Camera di esecuzione e fallimenti del Tribunale d'appello del Cantone Ticino.</w:t>
      </w:r>
    </w:p>
    <w:p>
      <w:r>
        <w:t>Losanna, 28 dicembre 2021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