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5A_307/2011 vom 13. Juli 2011</w:t>
      </w:r>
    </w:p>
    <w:p>
      <w:r>
        <w:t>Bundesgericht, 2011-07-13, DE</w:t>
      </w:r>
    </w:p>
    <w:p>
      <w:r>
        <w:rPr>
          <w:b/>
        </w:rPr>
        <w:t xml:space="preserve">Quelle: </w:t>
      </w:r>
      <w:r>
        <w:t>https://mcp.opencaselaw.ch/entscheid/bger_5A_307_2011</w:t>
      </w:r>
    </w:p>
    <w:p>
      <w:r>
        <w:t>FR: TF 5A_307/2011 du 13 juillet 2011</w:t>
      </w:r>
    </w:p>
    <w:p>
      <w:r>
        <w:t>IT: TF 5A_307/2011 del 13 luglio 2011</w:t>
      </w:r>
    </w:p>
    <w:p>
      <w:pPr>
        <w:pStyle w:val="Heading2"/>
      </w:pPr>
      <w:r>
        <w:t>Erwägungen</w:t>
      </w:r>
    </w:p>
    <w:p>
      <w:r>
        <w:rPr>
          <w:b/>
        </w:rPr>
        <w:t>E. 1</w:t>
      </w:r>
    </w:p>
    <w:p>
      <w:r>
        <w:t>Die beiden Beschwerden richten sich gegen zwei inhaltlich gleichlautende kantonale Entscheide, die auf einem ähnlichen Sachverhalt beruhen, dieselben Rechtsfragen aufwerfen und identische Parteien betreffen. Es rechtfertigt sich deshalb, die beiden Beschwerdeverfahren (d.h. 5A_307/2011 und 5A_310/2011) zu vereinigen und in einem einzigen Urteil zu erledigen ( Art. 71 BGG i.V.m. Art. 24 BZP analog).</w:t>
      </w:r>
    </w:p>
    <w:p>
      <w:r>
        <w:rPr>
          <w:b/>
        </w:rPr>
        <w:t>E. 2</w:t>
      </w:r>
    </w:p>
    <w:p>
      <w:r>
        <w:t>Angefochten sind zwei kantonal letztinstanzliche Entscheide, mit denen der Beschwerdeführer zur Kürzung seiner als weitschweifig erachteten Eingaben im kantonalen Rechtsmittelverfahren aufgefordert wurde (vgl. Art. 132 Abs. 2 ZPO ). Diese prozessleitenden Verfügungen stellen Zwischenentscheide im Sinne von Art. 93 BGG dar.</w:t>
      </w:r>
    </w:p>
    <w:p>
      <w:r>
        <w:t>Bei Zwischenentscheiden folgt der Rechtsweg jenem der Hauptsache. Diese bildet vorliegend ein Erbteilungsverfahren, d.h. eine vermögensrechtliche Zivilsache, deren Streitwert Fr. 30'000.-- übersteigt. Dagegen steht die Beschwerde in Zivilsachen offen ( Art. 72, Art. 74 Abs. 1 lit. b, Art. 75 und Art. 90 BGG ), weshalb sie auch gegen die angefochtenen Zwischenentscheide ergriffen werden kann. Steht die Beschwerde in Zivilsachen zur Verfügung, bleibt für die ebenfalls erhobene subsidiäre Verfassungsbeschwerde kein Raum ( Art. 113 BGG bzw. Art. 117 i.V.m. Art. 93 Abs. 1 lit. a BGG ).</w:t>
      </w:r>
    </w:p>
    <w:p>
      <w:r>
        <w:t>Selbständig eröffnete Zwischenentscheide können - von hier nicht massgeblichen Ausnahmen abgesehen - nur angefochten werden, wenn der Zwischenentscheid einen nicht wieder gutzumachenden Nachteil bewirken kann ( Art. 93 Abs. 1 lit. a BGG ). Ein solcher Nachteil muss - nach der von sämtlichen Abteilungen des Bundesgerichts befolgten Rechtsprechung - rechtlicher Natur und somit auch mit einem für den Beschwerdeführer günstigen Endentscheid nicht oder nicht vollständig behebbar sein ( BGE 136 II 165 E. 1.2.1 S. 170; 133 III 629 E. 2.3 S. 632). Die blosse Möglichkeit eines nicht wieder gutzumachenden Nachteils rechtlicher Natur genügt ( BGE 134 III 188 E. 2.1 S. 191). Dagegen reichen rein tatsächliche Nachteile wie die Verfahrensverlängerung oder -verteuerung nicht aus ( BGE 133 III 629 E. 2.3.1 S. 632). Schliesslich ist es auch nicht nötig, dass sich der Nachteil schon im kantonalen Verfahren durch einen günstigen Endentscheid beheben lässt; es reicht aus, wenn er in einem anschliessenden bundesgerichtlichen Verfahren beseitigt werden kann ( BGE 134 III 188 E. 2.1 S. 191).</w:t>
      </w:r>
    </w:p>
    <w:p>
      <w:r>
        <w:t>Der Beschwerdeführer hat den beiden Kürzungsverfügungen innert Frist Folge geleistet. Somit kann die Rechtmässigkeit derselben im Rahmen einer Gehörsrüge ( Art. 29 Abs. 2 BV ) später geprüft werden. Demzufolge kann auf beide Beschwerden in Zivilsachen nicht eingetreten werden.</w:t>
      </w:r>
    </w:p>
    <w:p>
      <w:r>
        <w:rPr>
          <w:b/>
        </w:rPr>
        <w:t>E. 3</w:t>
      </w:r>
    </w:p>
    <w:p>
      <w:r>
        <w:t>Bei diesem Verfahrensausgang wird der Beschwerdeführer für beide Verfahren kostenpflichtig (Art. 66 Ab. 1 BGG). Eine Parteientschädigung an die Beschwerdegegner ist nicht zuzusprechen, da sie zum Gesuch um aufschiebende Wirkung keine Vernehmlassung eingereicht haben und in der Sache dazu nicht eingeladen wurden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