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5A_306/2024 vom 17. Mai 2024</w:t>
      </w:r>
    </w:p>
    <w:p>
      <w:r>
        <w:t>Bundesgericht, 2024-05-17, DE</w:t>
      </w:r>
    </w:p>
    <w:p>
      <w:r>
        <w:rPr>
          <w:b/>
        </w:rPr>
        <w:t xml:space="preserve">Quelle: </w:t>
      </w:r>
      <w:r>
        <w:t>https://mcp.opencaselaw.ch/entscheid/bger_5A_306_2024</w:t>
      </w:r>
    </w:p>
    <w:p>
      <w:r>
        <w:t>FR: TF 5A_306/2024 du 17 mai 2024</w:t>
      </w:r>
    </w:p>
    <w:p>
      <w:r>
        <w:t>IT: TF 5A_306/2024 del 17 maggio 2024</w:t>
      </w:r>
    </w:p>
    <w:p>
      <w:pPr>
        <w:pStyle w:val="Heading2"/>
      </w:pPr>
      <w:r>
        <w:t>Erwägungen</w:t>
      </w:r>
    </w:p>
    <w:p>
      <w:r>
        <w:rPr>
          <w:b/>
        </w:rPr>
        <w:t>E. 1</w:t>
      </w:r>
    </w:p>
    <w:p>
      <w:r>
        <w:t>Mit Urteil vom 21. März 2024 eröffnete das Bezirksgericht Zürich den Konkurs über die Beschwerdeführerin für eine Forderung der Beschwerdegegnerin von Fr. 10'687.50 nebst Zins und Kosten.</w:t>
      </w:r>
    </w:p>
    <w:p>
      <w:r>
        <w:t>Dagegen erhob die Beschwerdeführerin am 28. März 2024 (Poststempel) Beschwerde. Mit Eingabe vom 10. April 2024 ergänzte sie die Beschwerde. Mit Urteil vom 17. April 2024 wies das Obergericht des Kantons Zürich die Beschwerde ab.</w:t>
      </w:r>
    </w:p>
    <w:p>
      <w:r>
        <w:t>Am 10. Mai 2024 (Postaufgabe) hat die Beschwerdeführerin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erwogen, die Beschwerdeführerin habe keinen Konkursaufhebungsgrund behauptet oder urkundlich nachgewiesen. Auch zu ihrer Zahlungsfähigkeit habe sie sich nur rudimentär geäussert. Es fehle ein aktueller, detaillierter und vollständiger Betreibungsregisterauszug mit einer Stellungnahme zu den nicht als erledigt ausgewiesenen Betreibungen.</w:t>
      </w:r>
    </w:p>
    <w:p>
      <w:r>
        <w:rPr>
          <w:b/>
        </w:rPr>
        <w:t>E. 4</w:t>
      </w:r>
    </w:p>
    <w:p>
      <w:r>
        <w:t>Vor Bundesgericht äussert sich die Beschwerdeführerin nicht dazu, dass sie vor Obergericht keinen Konkursaufhebungsgrund (insbesondere die Tilgung der Schuld) nachgewiesen hat. Sie behauptet lediglich, ihre Zahlungsfähigkeit nachgewiesen und alle Angaben gemacht zu haben, wobei sie insbesondere auf einen Betreibungsregisterauszug vom 14. März 2024 verweist, den sie dem Obergericht eingereicht habe. Zudem habe ein Treuhandbüro Unterlagen und Post unterschlagen, was auch dem Obergericht bekannt sei. Das Unternehmen sei für sie sehr wichtig, was das Obergericht nicht berücksichtigt habe, und es lägen für dieses Jahr viele Aufträge vor. Mit all dem schildert sie bloss den Sachverhalt aus ihrer Sicht, ohne eine Sachverhaltsrüge nach Art. 97 BGG zu erheben. Der Betreibungsregisterauszug vom 14. März 2024 stammt im Übrigen vom Betreibungsamt Bezirk Frauenfeld und nicht vom Betreibungsamt am aktuellen Sitz der Beschwerdeführerin in Zürich. Er ist damit von vornherein ungeeignet, die Erwägungen des Obergerichts zum Betreibungsregisterauszug zu widerlegen.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