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5A_304/2023 vom 17. November 2023</w:t>
      </w:r>
    </w:p>
    <w:p>
      <w:r>
        <w:t>Bundesgericht, 2023-11-17, FR</w:t>
      </w:r>
    </w:p>
    <w:p>
      <w:r>
        <w:rPr>
          <w:b/>
        </w:rPr>
        <w:t xml:space="preserve">Quelle: </w:t>
      </w:r>
      <w:r>
        <w:t>https://mcp.opencaselaw.ch/entscheid/bger_5A_304_2023</w:t>
      </w:r>
    </w:p>
    <w:p>
      <w:r>
        <w:t>FR: TF 5A_304/2023 du 17 novembre 2023</w:t>
      </w:r>
    </w:p>
    <w:p>
      <w:r>
        <w:t>IT: TF 5A_304/2023 del 17 novembre 2023</w:t>
      </w:r>
    </w:p>
    <w:p>
      <w:pPr>
        <w:pStyle w:val="Heading2"/>
      </w:pPr>
      <w:r>
        <w:t>Erwägungen</w:t>
      </w:r>
    </w:p>
    <w:p>
      <w:r>
        <w:rPr>
          <w:b/>
        </w:rPr>
        <w:t>E. 1</w:t>
      </w:r>
    </w:p>
    <w:p>
      <w:r>
        <w:t>Le recours a été introduit en temps utile (art. 46 al. 1 let. a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al. 4,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299 consid. 7.4.4;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147 IV 453 consid. 1;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w:t>
      </w:r>
    </w:p>
    <w:p>
      <w:r>
        <w:rPr>
          <w:b/>
        </w:rPr>
        <w:t>E. 3</w:t>
      </w:r>
    </w:p>
    <w:p>
      <w:r>
        <w:t>Le recourant reproche uniquement à la cour cantonale d'avoir nié que l'absence de relations personnelles avec sa fille était exclusivement due à l'attitude de rejet persistant de celle-ci à son égard. Il fait grief aux juges cantonaux d'avoir violé les art. 134 al. 2, 286 al. 2 et 277 al. 2 CC et d'avoir abusé de leur pouvoir d'appréciation en refusant de considérer que la cessation de toutes relations personnelles justifiait le refus d'une contribution d'entretien en faveur de l'enfant C.________ au-delà de sa majorité.</w:t>
      </w:r>
    </w:p>
    <w:p>
      <w:r>
        <w:rPr>
          <w:b/>
        </w:rPr>
        <w:t>E. 3.1</w:t>
      </w:r>
    </w:p>
    <w:p>
      <w:r>
        <w:t>Lorsque, dans le jugement de divorce, une contribution à l'entretien de l'enfant a été fixée pour la période postérieure à la majorité, cette contribution est due à l'enfant et payée en mains de celui-ci dès qu'il a accédé à la majorité (cf. ATF 129 III 55 consid. 3.1.5). Le parent débiteur de la contribution qui estime que les conditions de l' art. 277 al. 2 CC ne sont pas remplies peut ouvrir action en modification du jugement de divorce contre l'enfant majeur, conformément à l' art. 286 al. 2 CC , applicable par renvoi de l' art. 134 al. 2 CC ( ATF 139 III 401 consid. 3.2.2; arrêts 5A_18/2011 du 1er juin 2011 consid. 5.1.2 et 5.2 et les références; 5A_464/2008 du 15 décembre 2008 consid. 3).</w:t>
      </w:r>
    </w:p>
    <w:p>
      <w:r>
        <w:t>L'obligation d'entretien des père et mère à l'égard de leur enfant majeur, prévue par l' art. 277 al. 2 CC , dépend expressément de l'ensemble des circonstances et notamment des relations personnelles entre les parents et l'enfant ( ATF 127 I 202 consid. 3e; 120 II 177 consid. 3c et les références; arrêts 5A_883/2021 du 7 juillet 2022 consid. 2.1; 5A_340/2021 du 16 novembre 2021 consid. 3.1; 5A_585/2018 du 24 août 2018 consid. 3.1.1).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et, dans les cas où les relations personnelles sont rompues, avoir provoqué la rupture par son refus injustifié de les entretenir, son attitude gravement querelleuse ou son hostilité profonde ( ATF 120 II 177 consid. 3c; 113 II 374 consid. 2; 111 II 413 consid. 2; arrêts 5A_706/2022 du 21 mars 2023 consid. 4.1.2; 5A_129/2021 du 31 mai 2021 consid. 3.1 et les références). Admettre, dans de telles circonstances, le droit à l'entretien après la majorité reviendrait en effet à réduire le débiteur au rôle de parent payeur, ce que n'a assurément pas voulu le législateur (ATF 113 Il 374 consid. 2; arrêts 5A_883/2021 précité consid. 2.2; 5A_182/2014 du 12 décembre 2014 consid. 3.2; 5A_560/2011 du 25 novembre 2011 consid. 4.1.1).</w:t>
      </w:r>
    </w:p>
    <w:p>
      <w:r>
        <w:t>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4.1 et 4.2; 117 II 127 consid. 3b; 113 II 374 consid. 4; arrêts 5A_340/2021 précité consid. 3.1; 5A_246/2019 du 9 juin 2020 consid. 2.1; 5A_717/2019 du 20 avril 2020 consid. 5.1.1.1). Il ne s'agit cependant pas d'une règle schématique. Plus un enfant est jeune, plus il aura besoin d'être entretenu pendant la période de sa formation, mais moins il pourra se distancer des expériences traumatisantes qu'il aura pu faire dans ses relations avec les père et mère. On posera par conséquent des exigences élevées à l'égard du parent qui se prévaudrait de cette relation pour échapper à son obligation d'entretien. A l'inverse, plus l'enfant est âgé, moins il a en général besoin d'être entretenu pour sa formation et plus on peut attendre de lui qu'il prenne de la distance par rapport au passé. Dès lors, il se justifie, dans ce cas, de poser des exigences moins élevées pour admettre que l'entretien ne peut pas être exigé ( ATF 129 III 375 consid. 3.4; arrêts 5A_340/2021 précité loc. cit.; 5A_442/2016 du 7 février 2017 consid. 4.1, publié in FamPra.ch 2017 p. 591). Le Tribunal fédéral a ainsi considéré qu'une obligation d'entretien ne pouvait être imposée au père d'une fille majeure qui persistait six ans après le divorce de ses parents à se soustraire de manière coupable à l'accomplissement des devoirs qui lui incombaient en vertu de droit de la famille, bien que lui-même se fût comporté correctement envers elle ( ATF 113 II 374 consid. 4). De même, il a été jugé qu'on pouvait exiger d'une jeune femme de vingt-quatre ans qui refusait tout contact avec son père depuis l'âge de quatorze ans, quand bien même ses parents avaient divorcé lorsqu'elle était âgée de dix ans, de prendre du recul et de faire un effort pour renouer avec son père, compte tenu de son âge actuel et du temps écoulé ( ATF 129 III 375 consid. 3.4 et 4).</w:t>
      </w:r>
    </w:p>
    <w:p>
      <w:r>
        <w:t>Il résulte de ce qui précède que, pour justifier un refus d'entretien, l'enfant doit encourir la responsabilité exclusive de la rupture des relations personnelles et cette responsabilité doit pouvoir lui être imputée à faute ( ATF 113 II 374 consid. 2; arrêts 5A_137/2015 du 9 avril 2015 consid. 5.2; 5A_503/2012 du 4 décembre 2012 consid. 4.2, publié in FamPra.ch 2013 p. 525; 5A_806/2011 du 26 janvier 2012 consid. 2). En revanche, lorsque l'enfant a contribué à la rupture des relations sans que sa responsabilité soit exclusive, on peut exiger du parent qu'il assume l'entretien (arrêts 5A_340/2021 précité loc. cit.; 5A_627/2013 du 11 décembre 2013 consid. 6.1.2, publié in FamPra.ch 2014 p. 488).</w:t>
      </w:r>
    </w:p>
    <w:p>
      <w:r>
        <w:t>En la matière, le juge jouit d'un large pouvoir d'appréciation; il applique les règles du droit et de l'équité ( art. 4 CC ). Le Tribunal fédéral n'intervient qu'en cas d'excès ou d'abus de ce pouvoir (arrêts 5A_883/2021 précité consid. 2.4; 5A_129/2021 précité loc. cit. et les références).</w:t>
      </w:r>
    </w:p>
    <w:p>
      <w:r>
        <w:t>Savoir si l'entretien peut être raisonnablement exigé des parents est une question de droit. Ressortissent en revanche à l'établissement des faits les circonstances concrètes sur lesquelles le tribunal se fonde pour trancher cette question (arrêts 5A_883/2021 précité consid. 2.3; 5A_340/2021 précité loc. cit.; 5A_706/2022 précité consid. 4.1.3 et la référence; 5A_129/2021 précité loc. cit.).</w:t>
      </w:r>
    </w:p>
    <w:p>
      <w:r>
        <w:rPr>
          <w:b/>
        </w:rPr>
        <w:t>E. 3.2</w:t>
      </w:r>
    </w:p>
    <w:p>
      <w:r>
        <w:t>La cour cantonale a retenu qu'il résultait de la procédure que c'était avant tout l'intimée qui était à l'origine de la rupture des relations personnelles entre les enfants et leur père. Bien que ceux-ci aient déclaré que c'était leur choix de ne pas le voir, c'était en raison de leur loyauté vis-à-vis de leur mère qu'ils agissaient de la sorte. Si C.________ était récemment devenue majeure, il n'en demeurait pas moins qu'elle vivait toujours chez sa mère, de sorte qu'elle restait sous l'influence de celle-ci. Dans ce contexte, on ne pouvait pas reprocher à l'enfant de ne pas vouloir renouer avec son père, de sorte que, puisqu'il n'était pas contesté qu'elle poursuivait des études de manière régulière, elle était en droit de continuer de percevoir une contribution à son entretien de la part de son père.</w:t>
      </w:r>
    </w:p>
    <w:p>
      <w:r>
        <w:rPr>
          <w:b/>
        </w:rPr>
        <w:t>E. 3.3</w:t>
      </w:r>
    </w:p>
    <w:p>
      <w:r>
        <w:t>Selon le recourant, il ressort de la procédure qu'il n'est pas à l'origine de la rupture des relations personnelles avec ses enfants, ni ne l'a entretenue, et qu'il a fait tout ce qu'il pouvait, d'un point de vue juridique, pour entretenir de telles relations. La rupture des relations personnelles avec ses enfants avait été provoquée uniquement par le refus injustifié et catégorique de ceux-ci d'entretenir tout contact, ce qu'ils avaient exprimé à diverses reprises au cours de la procédure devant le Tribunal de protection. Si l'on pouvait imaginer que les enfants avaient pu faire face à un conflit de loyauté vis-à-vis de leur mère au moment de la séparation, puis du divorce, de leurs parents, force était toutefois de constater que celui-ci avait été prononcé il y avait plus de douze ans. Les diverses procédures devant " les autorités de protection de l'enfant " et les expertises menées remontaient en outre à plusieurs années. Au vu du temps écoulé, on pouvait dès lors raisonnablement s'attendre à ce que ses enfants, et en particulier sa fille désormais majeure, acquièrent un certain détachement par rapport aux événements du passé ainsi qu'à l'influence de leur mère. L'attitude de rejet à son égard adoptée par C.________ depuis de nombreuses années et persistant au-delà de sa majorité, bien qu'il se soit comporté correctement, lui était ainsi imputable à faute, conformément à la jurisprudence du Tribunal fédéral. Partant, c'était à tort que la cour cantonale avait refusé la suppression de la contribution d'entretien en faveur de C.________, au motif que celle-ci se trouverait encore sous l'influence de sa mère, qui serait à l'origine de la rupture des relations personnelles entre le père et ses enfants. Si le rôle joué initialement par l'intimée dans cette rupture ne pouvait être nié, il ne pouvait en revanche être retenu que tel serait toujours le cas en l'espèce. En retenant le contraire, bien qu'ayant expressément constaté que C.________ refusait de renouer avec son père, l'autorité précédente avait ainsi abusé de son pouvoir d'appréciation. Aucun élément du dossier ne permettait en effet de démontrer que la rupture des relations personnelles serait uniquement imputable à l'intimée, les enfants ayant au contraire affirmé à de nombreuses reprises que le choix de ne plus voir leur père résultait de leur propre initiative, l'intimée ayant en outre elle-même relevé dans le cadre de ses écritures, notamment de première instance, que les enfants avaient clairement manifesté leur volonté de ne plus voir leur père, bien que ce refus soit regrettable.</w:t>
      </w:r>
    </w:p>
    <w:p>
      <w:r>
        <w:t>Le recourant relève encore que sa fille, âgée aujourd'hui de 19 ans, est majeure et capable de discernement, ne fait l'objet d'aucune mesure, et a ainsi le plein exercice des droits civils. Le seul fait qu'elle vive toujours avec sa mère ne permettait pas encore de conclure qu'elle ne serait pas capable de former librement sa volonté et de prendre ses propres décisions; retenir le contraire revenait à vider de sa substance l' art. 13 CC , de même que les conséquences découlant de l'accession à la majorité, " avec ce que cela présuppos[ait] en termes de responsabilités notamment ". Il y avait dès lors lieu de retenir que C.________ formait librement sa volonté, et qu'elle était ainsi capable de faire ses propres choix; le fait qu'elle persiste fautivement à refuser d'entretenir le moindre contact avec son père, alors que celui-ci avait tout entrepris pour entretenir des relations personnelles avec elle, devait conduire à la suppression de la contribution d'entretien en sa faveur.</w:t>
      </w:r>
    </w:p>
    <w:p>
      <w:r>
        <w:rPr>
          <w:b/>
        </w:rPr>
        <w:t>E. 3.4</w:t>
      </w:r>
    </w:p>
    <w:p>
      <w:r>
        <w:t>En l'espèce, il n'est pas établi que la fille aînée des parties soit la seule responsable (cf. supra consid. 3.1) de la rupture des relations personnelles entre elle-même et son père. En effet, sur la base des faits constatés dans l'arrêt querellé - que le recourant ne remet pas en cause de manière conforme aux exigences de motivation sus-rappelées (cf. supra consid. 2.2) -, l'appréciation de la cour cantonale selon laquelle la rupture des relations entre le recourant et sa fille aînée résulte du conflit de loyauté dans lequel celle-ci se trouve depuis plusieurs années ne prête pas le flanc à la critique. A lire l'arrêt attaqué, il apparaît que la cour cantonale s'est basée à cet égard sur les considérations des experts, qui ont relevé dans leur rapport du 13 novembre 2019 que l'intimée, de par son trouble de la personnalité, ne permettait pas aux enfants de s'ouvrir au monde et à leur père et que si ceux-ci restaient auprès de leur mère, ils ne pourraient pas s'autoriser à aimer leur père car ils se sentiraient coupables de la faire souffrir en la trahissant. Or, bien que cette expertise date déjà de plusieurs années, rien dans l'arrêt querellé ne montre que la situation aurait changé et le recourant n'établit pas le contraire. Il doit donc être retenu que le conflit de loyauté perdure et que C.________, dont il n'est pas contesté qu'elle vit toujours avec sa mère, en subit encore les conséquences nonobstant le fait qu'elle soit devenue majeure. A cela s'ajoute que, même s'il a agi en justice pour voir son droit aux relations personnelles reconnu, il ne résulte pas du dossier que le recourant aurait entrepris une quelconque démarche pour concrètement renouer le dialogue ou un lien avec ses enfants, singulièrement avec sa fille, que ce soit par le biais d'une lettre, d'un e-mail, d'un SMS ou encore d'une carte de voeux à l'occasion par exemple d'un anniversaire. Au vu de ces circonstances, les juges cantonaux - qui jouissent en la matière d'un large pouvoir d'appréciation ( art. 4 CC ) à l'égard duquel le Tribunal fédéral se montre réservé (cf. supra consid. 3.1) - n'ont pas violé le droit fédéral en considérant que l'absence de liens personnels ne justifiait pas le refus de toute contribution à l'entretien de C.________. C'est ainsi en vain que le recourant tente de rapprocher la présente espèce d'autres causes jugées par le Tribunal de céans. En particulier, l'affaire ayant donné lieu à l' ATF 129 III 375 , qu'il invoque sans tenir compte des faits qui la fondent, s'en distingue: dans cette affaire, le père s'était efforcé, à plusieurs reprises et sans succès, d'avoir un contact avec sa fille âgée de 24 ans et les conflits familiaux et les expériences négatives justifiant le refus de celle-ci de toutes relations personnelles dataient de son enfance et de son adolescence.</w:t>
      </w:r>
    </w:p>
    <w:p>
      <w:r>
        <w:t>Infondé, le grief doit être rejeté.</w:t>
      </w:r>
    </w:p>
    <w:p>
      <w:r>
        <w:rPr>
          <w:b/>
        </w:rPr>
        <w:t>E. 4</w:t>
      </w:r>
    </w:p>
    <w:p>
      <w:r>
        <w:t>En définitive, le recours est rejeté. Dès lors qu'il était d'emblée dénué de chances de succès, la requête d'assistance judiciaire du recourant ne saurait être agréée ( art. 64 al. 1 LTF ). Les frais judiciaires sont mis à sa charge ( art. 66 al. 1 LTF ). Il n'y a pas lieu d'allouer de dépens à l'intimée, qui a renoncé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