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5A_304/2019 vom 11. April 2019</w:t>
      </w:r>
    </w:p>
    <w:p>
      <w:r>
        <w:t>Bundesgericht, 2019-04-11, DE</w:t>
      </w:r>
    </w:p>
    <w:p>
      <w:r>
        <w:rPr>
          <w:b/>
        </w:rPr>
        <w:t xml:space="preserve">Quelle: </w:t>
      </w:r>
      <w:r>
        <w:t>https://mcp.opencaselaw.ch/entscheid/bger_5A_304_2019</w:t>
      </w:r>
    </w:p>
    <w:p>
      <w:r>
        <w:t>FR: TF 5A_304/2019 du 11 avril 2019</w:t>
      </w:r>
    </w:p>
    <w:p>
      <w:r>
        <w:t>IT: TF 5A_304/2019 del 11 aprile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keinerlei Rechtsbegehren in der Sache, sondern einzig das diffuse Anliegen, dass der ganze Fall mit ihrer Tochter nochmals aufgerollt werde, und zwar richtig, notfalls unter Einschaltung der Bundesanwaltschaft. Darauf kann von vornherein nicht eingetreten werden. Im Übrigen bleibt offen, was die Beschwerdeführerin im Rahmen des durch den angefochtenen Entscheid abgesteckten Beschwerdegegenstandes anstrebt. Schon aus diesem Grund könnte auf die Beschwerde nicht eingetreten werden.</w:t>
      </w:r>
    </w:p>
    <w:p>
      <w:r>
        <w:t>Die Beschwerdeführerin setzt sich aber auch nicht mit den Erwägungen des angefochtenen Entscheides auseinander. Weder legt sie dar, inwiefern das Obergericht mit seinem Nichteintreten gegen Recht verstossen haben könnte, noch nimmt sie Bezug auf die materielle Eventualbegründung. Vielmehr beklagt sie sich in allgemeiner Weise über Behördenfehler der Gemeinde U.________, die viel Kosten verursachen würden, über ihr grosses Leid bei der Geburt ihrer Tochter und in der Folgezeit, über das Verhalten des Kindsvaters, über die Zustände bei der Sozialhilfe bzw. über Sozialhilfebetrug und schildert überhaupt ihre Lebensgeschichte. All diese Dinge stehen aber ausserhalb des angefochtenen Entscheides.</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