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301/2020 vom 30. September 2020</w:t>
      </w:r>
    </w:p>
    <w:p>
      <w:r>
        <w:t>Bundesgericht, 2020-09-30, DE</w:t>
      </w:r>
    </w:p>
    <w:p>
      <w:r>
        <w:rPr>
          <w:b/>
        </w:rPr>
        <w:t xml:space="preserve">Quelle: </w:t>
      </w:r>
      <w:r>
        <w:t>https://mcp.opencaselaw.ch/entscheid/bger_5A_301_2020</w:t>
      </w:r>
    </w:p>
    <w:p>
      <w:r>
        <w:t>FR: TF 5A 301/2020 du 30 septembre 2020</w:t>
      </w:r>
    </w:p>
    <w:p>
      <w:r>
        <w:t>IT: TF 5A 301/2020 del 30 settembre 2020</w:t>
      </w:r>
    </w:p>
    <w:p>
      <w:pPr>
        <w:pStyle w:val="Heading2"/>
      </w:pPr>
      <w:r>
        <w:t>Regeste</w:t>
      </w:r>
    </w:p>
    <w:p>
      <w:r>
        <w:t>Negative Feststellungsklage (Unterhaltsbeiträge) | Familienrecht</w:t>
      </w:r>
    </w:p>
    <w:p>
      <w:pPr>
        <w:pStyle w:val="Heading2"/>
      </w:pPr>
      <w:r>
        <w:t>Erwägungen</w:t>
      </w:r>
    </w:p>
    <w:p>
      <w:r>
        <w:rPr>
          <w:b/>
        </w:rPr>
        <w:t>E. 1.1</w:t>
      </w:r>
    </w:p>
    <w:p>
      <w:r>
        <w:t>Die Beschwerde richtet sich gegen den Endentscheid einer letzten kantonalen Instanz, die als oberes Gericht auf Rechtsmittel hin in einer Schuldbetreibungssache entschieden hat ( Art. 90, Art. 75, Art. 72 Abs. 2 lit. a BGG ). Der Streitwert beträgt nach den Feststellungen der Vorinstanz Fr. 28'400.80 und erreicht den für die Beschwerde in Zivilsachen erforderlichen Streitwert von Fr. 30'000.-- nicht ( Art. 74 Abs. 1 lit. b BGG ).</w:t>
      </w:r>
    </w:p>
    <w:p>
      <w:r>
        <w:rPr>
          <w:b/>
        </w:rPr>
        <w:t>E. 1.2</w:t>
      </w:r>
    </w:p>
    <w:p>
      <w:r>
        <w:t>Ist die Streitwertgrenze nicht erreicht, bleibt zu prüfen, ob sich eine Rechtsfrage von grundsätzlicher Bedeutung im Sinne von Art. 74 Abs. 2 lit. a BGG stellt und die Beschwerde in Zivilsachen aus diesem Grund zulässig ist. 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137 III 580 E. 1.1; je mit Hinweisen).</w:t>
      </w:r>
    </w:p>
    <w:p>
      <w:r>
        <w:rPr>
          <w:b/>
        </w:rPr>
        <w:t>E. 1.3</w:t>
      </w:r>
    </w:p>
    <w:p>
      <w:r>
        <w:t>Der Beschwerdeführer zeigt aber keine Rechtsfragen von grundsätzlicher Bedeutung auf. Auf die Eingabe vom 25. April 2020 ist daher nicht einzutreten, soweit der Beschwerdeführer Beschwerde in Zivilsachen hätte erheben wollen. Die Eingabe könnte gegebenenfalls als subsidiäre Verfassungsbeschwerde entgegengenommen werden ( Art. 113 ff. BGG ).</w:t>
      </w:r>
    </w:p>
    <w:p>
      <w:r>
        <w:rPr>
          <w:b/>
        </w:rPr>
        <w:t>E. 1.4</w:t>
      </w:r>
    </w:p>
    <w:p>
      <w:r>
        <w:t>Von vornherein nicht einzutreten ist auf die Eingaben des Beschwerdeführers vom 14. Mai 2020 und vom 9. Juni 2020 inkl. den damit vorgelegten Dokumenten (Sachverhalt lit. C.b), da diese nach Ablauf der Beschwerdefrist erfolgten.</w:t>
      </w:r>
    </w:p>
    <w:p>
      <w:r>
        <w:rPr>
          <w:b/>
        </w:rPr>
        <w:t>E. 2.1</w:t>
      </w:r>
    </w:p>
    <w:p>
      <w:r>
        <w:t>Neben den Rechtsbegehren muss die Beschwerde eine Begründung enthalten. In dieser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S. 85, 115 E. 2 S. 116). Der Beschwerdeführer ist nicht deutscher Muttersprache und gelangt ohne anwaltliche Vertretung an das Bundesgericht. Die Beschwerde enthält denn auch keine eigentlichen Rechtsbegehren und ist über weite Strecken schwer verständlich. Wie weit aus der Beschwerdebegründung Rechtsbegehren abgeleitet werden könnten, kann angesichts der nachfolgenden Erwägungen offen bleiben.</w:t>
      </w:r>
    </w:p>
    <w:p>
      <w:r>
        <w:rPr>
          <w:b/>
        </w:rPr>
        <w:t>E. 2.2</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 V. m.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2.2.1</w:t>
      </w:r>
    </w:p>
    <w:p>
      <w:r>
        <w:t>Der Beschwerdeführer bringt sinngemäss vor, der Entscheid des Amtsgerichts Zagreb vom 5. Februar 2002 sei "ungesetzlich", weil ihm dannzumal die Vorladung für eine Gerichtsverhandlung nicht persönlich zugestellt worden sei. Ebenso sei ein zweites gerichtliches Dokument nicht ihm selbst zugestellt worden. Damit seien Bestimmungen des Verfahrensgesetzes der Republik Kroatien verletzt worden, was gegen den Schweizer ordre public verstosse. Weiter hätten die Vorinstanzen das Verjährungsrecht "fehlerhaft" angewendet. Die von der Beschwerdegegnerin geltend gemachten Forderungen seien nämlich verjährt. Das habe er auch nicht zu spät geltend gemacht, wie dies die Vorinstanz zu Unrecht behauptet habe. Schliesslich seien von ihm geleistete Zahlungen nicht angerechnet worden.</w:t>
      </w:r>
    </w:p>
    <w:p>
      <w:r>
        <w:rPr>
          <w:b/>
        </w:rPr>
        <w:t>E. 2.2.2</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mit einer den genannten Anforderungen genügenden Begründung geltend zu machen hat (Art. 117 i. V. m. Art. 106 Abs. 2 BGG ; BGE 136 I 332 E. 2.2; 133 III 439 E. 3.2 S. 445 mit Hinweis; vgl. E. 2.2 hiervor). Die Ausführungen des Beschwerdeführers weichen zwar in diversen Punkten vom im angefochtenen Urteil wiedergegebenen Sachverhalt ab. Er macht aber weder eine willkürliche Sachverhaltsfeststellung geltend noch zeigt er auf, dass er vor den Vorinstanzen rechtsgenüglich Beweise zu den behaupteten Tatsachen vorgelegt hätte, welche die Vorinstanzen ignoriert hätten. Seine Darstellungen bleiben somit rein appellatorischer Natur. Darauf ist nicht einzutreten. Das Bundesgericht hat mithin vom von der Vorinstanz festgestellten Sachverhalt auszugehen.</w:t>
      </w:r>
    </w:p>
    <w:p>
      <w:r>
        <w:rPr>
          <w:b/>
        </w:rPr>
        <w:t>E. 2.2.3</w:t>
      </w:r>
    </w:p>
    <w:p>
      <w:r>
        <w:t>In rechtlicher Hinsicht zeigt der Beschwerdeführer sodann nicht auf, inwiefern seine verfassungsmässigen Rechte verletzt worden sein sollen. Zwar kritisiert er im Zusammenhang mit der (behaupteten) nicht gehörigen Zustellung, sein rechtliches Gehör sei verletzt worden. Er begründet den Vorwurf aber nicht in der erforderlichen Weise. Weder führt er aus, inwiefern sein Gehör konkret verletzt worden sein soll. Noch setzt er sich mit den Erwägungen des angefochtenen Entscheids auseinander, in denen die Vorinstanz den Vorwurf der nicht gehörigen Zustellung aufgegriffen und detailliert begründet hat, weshalb - weder nach dem anwendbaren kroatischen, noch nach schweizerischem Recht - eine schwerwiegende Verletzung der Verfahrensrechte des Beschwerdeführers vorgelegen habe. Die Vorinstanz zeigte unter anderem auf, dass die Zustellung an eine andere Person als den Beschwerdeführer zulässig sein konnte. Weiter hielt sie fest, dass der Beschwerdeführer sich trotz der behaupteten nicht gehörigen Zustellungen auf das Verfahren eingelassen und daran mitgewirkt hat, welches zum Urteil des Amtsgerichts Zagreb vom 5. Februar 2002 geführt hatte. Schliesslich unterstrich die Vorinstanz, dass er gegen dieses erste strittige Urteil Beschwerde erheben und vor der Beschwerdeinstanz seinen Standpunkt vorbringen konnte, was schliesslich zum Urteil des Gespanschaftsgerichts Zagreb vom 30. Januar 2007 führte. In diesem zweiten Urteil wurde der Unterhaltsbeitrag auf Fr. 800.-- pro Monat reduziert (vgl. Sachverhalt lit. A.a). Die in Betreibung gesetzten Unterhaltsbeiträge stützen sich nun aber auf dieses zweite Urteil (vgl. Sachverhalt lit. A.b). Zusammengefasst kommt der Beschwerdeführer in Bezug auf die behauptete Gehörsverletzung seiner Rüge- und Begründungspflicht nicht nach.</w:t>
      </w:r>
    </w:p>
    <w:p>
      <w:r>
        <w:rPr>
          <w:b/>
        </w:rPr>
        <w:t>E. 2.3</w:t>
      </w:r>
    </w:p>
    <w:p>
      <w:r>
        <w:t>Weitere Verfassungsrügen erhebt der Beschwerdeführer nicht. Mangels rechtsgenüglicher Verfassungsrügen kann auf die Beschwerde nicht eingetreten werden.</w:t>
      </w:r>
    </w:p>
    <w:p>
      <w:r>
        <w:rPr>
          <w:b/>
        </w:rPr>
        <w:t>E. 3</w:t>
      </w:r>
    </w:p>
    <w:p>
      <w:r>
        <w:t>Bei diesem Ausgang des Verfahrens muss der Beschwerdeführer für die Gerichtskosten aufkommen ( Art. 66 Abs. 1 BGG ). Die Beschwerdegegnerin wurde nicht zur Vernehmlassung eingeladen. Entsprechend ist ihr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