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5A_299/2025 vom 16. Juli 2025</w:t>
      </w:r>
    </w:p>
    <w:p>
      <w:r>
        <w:t>Bundesgericht, 2025-07-16, DE</w:t>
      </w:r>
    </w:p>
    <w:p>
      <w:r>
        <w:rPr>
          <w:b/>
        </w:rPr>
        <w:t xml:space="preserve">Quelle: </w:t>
      </w:r>
      <w:r>
        <w:t>https://mcp.opencaselaw.ch/entscheid/bger_5A_299_2025</w:t>
      </w:r>
    </w:p>
    <w:p>
      <w:r>
        <w:t>FR: TF 5A_299/2025 du 16 juillet 2025</w:t>
      </w:r>
    </w:p>
    <w:p>
      <w:r>
        <w:t>IT: TF 5A_299/2025 del 16 luglio 2025</w:t>
      </w:r>
    </w:p>
    <w:p>
      <w:pPr>
        <w:pStyle w:val="Heading2"/>
      </w:pPr>
      <w:r>
        <w:t>Erwägungen</w:t>
      </w:r>
    </w:p>
    <w:p>
      <w:r>
        <w:rPr>
          <w:b/>
        </w:rPr>
        <w:t>E. 1</w:t>
      </w:r>
    </w:p>
    <w:p>
      <w:r>
        <w:t>Zufolge Rückzuges der Beschwerde ist das Verfahren 5A_299/2025 abzuschreiben.</w:t>
      </w:r>
    </w:p>
    <w:p>
      <w:r>
        <w:rPr>
          <w:b/>
        </w:rPr>
        <w:t>E. 2</w:t>
      </w:r>
    </w:p>
    <w:p>
      <w:r>
        <w:t>Abschreibungserklärungen fallen an sich in die Kompetenz des Abteilungspräsidenten ( Art. 32 Abs. 2 BGG ). Allerdings hat die Beschwerdeführerin auch für das bundesgerichtliche Verfahren ein Gesuch um unentgeltliche Rechtspflege gestellt, über das nach dem hypothetischen Ausgang des Beschwerdeverfahrens in Dreierbesetzung zu entscheiden ist.</w:t>
      </w:r>
    </w:p>
    <w:p>
      <w:r>
        <w:rPr>
          <w:b/>
        </w:rPr>
        <w:t>E. 3</w:t>
      </w:r>
    </w:p>
    <w:p>
      <w:r>
        <w:t>Der Beschwerde hätte im Sinn eines hypothetischen Verfahrensausganges kein Erfolg beschieden sein können und sie wäre als von Anfang an aussichtslos zu betrachten gewesen, womit es an den materiellen Voraussetzungen der unentgeltlichen Rechtspflege fehlt ( Art. 64 Abs. 1 BGG ) :</w:t>
      </w:r>
    </w:p>
    <w:p>
      <w:r>
        <w:t>Im angefochtenen Entscheid wird festgehalten (S. 31 Ziff. IV.3), die Beschwerdeführerin habe - entgegen dem gerichtlichen Schreiben vom 4. Juni 2024, welches irrtümlich ergangen sei - kein Gesuch um unentgeltliche Rechtspflege gestellt.</w:t>
      </w:r>
    </w:p>
    <w:p>
      <w:r>
        <w:t>Der angefochtene Entscheid betraf vorsorgliche Massnahmen, weshalb die Kognitionsbeschränkung von Art. 98 BGG zum Tragen kommt und nur Verfassungsrügen zulässig sind. Dies ergibt sich sodann auch daraus, dass das Verfahrensrecht in KESB-Sachen aufgrund des zuteilenden Vorbehalts von Art. 450f ZGB kantonal geregelt ist und deshalb, soweit der Kanton die ZPO für anwendbar erklärt, die einschlägigen ZPO-Bestimmungen - vorliegend v.a. Art. 119 Abs. 5 ZPO , wonach die unentgeltliche Rechtspflege im Rechtsmittelverfahren neu zu beantragen ist - als subsidiäres kantonales Recht gelten, weshalb insgesamt nur die Verletzung verfassungsmässiger Rechte gerügt werden kann, wobei die Rüge im Vordergrund steht, dass das kantonale Recht willkürlich angewandt worden sei ( BGE 139 III 225 E. 2.3; 140 III 385 E. 2.3). Der Anspruch auf unentgeltliche Rechtspflege ist zwar auch verfassungsmässig verankert ( Art. 29 Abs. 3 BV ), aber es geht vorliegend nicht um die Frage der formellen (Prozessarmut) oder materiellen (Erfolgsaussichten) Voraussetzungen der unentgeltlichen Rechtspflege, sondern um die Frage, ob die Beschwerdeführerin aufgrund der telefonischen Auskünfte und des gerichtlichen Schreibens auf die Stellung eines neuen Gesuches um unentgeltliche Rechtspflege im Rechtsmittelverfahren vor dem Kantonsgericht verzichten durfte. Diesbezüglich hätte es substanziierter Willkürrügen bedurft, inwiefern die Erwägung im angefochtenen Entscheid, es hätte ein separates Gesuch um unentgeltliche Rechtspflege gestellt werden müssen, willkürlich sei. Die bloss appellatorisch gehaltenen Ausführungen der (anwaltlich vertretenen) Beschwerdeführerin, wieso sie auf die Auskünfte bzw. Zusicherungen des Gerichtes habe vertrauen und auf die Stellung eines Gesuches verzichten dürfen, hätten zufolge der Kognitionsbeschränkung nicht gehört werden können, weshalb die offenkundig nicht hinreichend begründete Beschwerde von Anfang an aussichtslos gewesen wäre und deshalb - im Kontext mit den Kostenfolgen zufolge Rückzugs der Beschwerde - das Gesuch um unentgeltliche Rechtspflege abzuweisen ist.</w:t>
      </w:r>
    </w:p>
    <w:p>
      <w:r>
        <w:rPr>
          <w:b/>
        </w:rPr>
        <w:t>E. 4</w:t>
      </w:r>
    </w:p>
    <w:p>
      <w:r>
        <w:t>Die bisher entstandenen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