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298/2024 vom 19. September 2024</w:t>
      </w:r>
    </w:p>
    <w:p>
      <w:r>
        <w:t>Bundesgericht, 2024-09-19, FR</w:t>
      </w:r>
    </w:p>
    <w:p>
      <w:r>
        <w:rPr>
          <w:b/>
        </w:rPr>
        <w:t xml:space="preserve">Quelle: </w:t>
      </w:r>
      <w:r>
        <w:t>https://mcp.opencaselaw.ch/entscheid/bger_5A_298_2024</w:t>
      </w:r>
    </w:p>
    <w:p>
      <w:r>
        <w:t>FR: TF 5A 298/2024 du 19 septembre 2024</w:t>
      </w:r>
    </w:p>
    <w:p>
      <w:r>
        <w:t>IT: TF 5A 298/2024 del 19 settembre 2024</w:t>
      </w:r>
    </w:p>
    <w:p>
      <w:pPr>
        <w:pStyle w:val="Heading2"/>
      </w:pPr>
      <w:r>
        <w:t>Regeste</w:t>
      </w:r>
    </w:p>
    <w:p>
      <w:r>
        <w:t>mesures provisionnelles dans le cadre du divorce | Droit de la famille</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89 consid. 1; 143 III 140 consid. 1).</w:t>
      </w:r>
    </w:p>
    <w:p>
      <w:r>
        <w:rPr>
          <w:b/>
        </w:rPr>
        <w:t>E. 1.1</w:t>
      </w:r>
    </w:p>
    <w:p>
      <w:r>
        <w:t>Il sied d'emblée de constater que les écritures complémentaires déposées les 31 mai et 6 août 2024 par le recourant sont irrecevables dès lors qu'elles ont été déposées après l'échéance du délai de recours ( art. 100 al. 1 LTF ).</w:t>
      </w:r>
    </w:p>
    <w:p>
      <w:r>
        <w:rPr>
          <w:b/>
        </w:rPr>
        <w:t>E. 1.2</w:t>
      </w:r>
    </w:p>
    <w:p>
      <w:r>
        <w:t>Selon l' art. 42 al. 1 LTF , les mémoires doivent être rédigés dans une langue officielle, indiquer les conclusions, les motifs et les moyens de preuve, et être signés. En l'occurrence, le recourant se borne à conclure à l'admission de son recours, à l'annulation de la décision querellée et au renvoi du dossier à l'autorité cantonale pour nouvelle décision. Il ne prend pas de conclusions réformatoires et n'explique pas dans quelle mesure l'autorité de céans, même si elle admettait son recours, ne serait pas en mesure de statuer elle-même sur le fond. Cela étant, la question de la recevabilité des conclusions peut demeurer ouverte, le recours étant de toute manière irrecevable pour les motifs qui vont suivre (cf. infra consid. 3).</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qui se plaint de la violation d'un droit fondamental ne peut ainsi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rPr>
          <w:b/>
        </w:rPr>
        <w:t>E. 3</w:t>
      </w:r>
    </w:p>
    <w:p>
      <w:r>
        <w:t>Le recourant se plaint d'arbitraire ( art. 9 Cst. ), de la violation des art. 29 Cst. , 29 al. 2 Cst. (violation du droit d'être entendu) et 8 CEDH, ainsi que de la réalisation d'un abus de droit ( art. 2 al. 2 CC ).</w:t>
      </w:r>
    </w:p>
    <w:p>
      <w:r>
        <w:rPr>
          <w:b/>
        </w:rPr>
        <w:t>E. 3.1</w:t>
      </w:r>
    </w:p>
    <w:p>
      <w:r>
        <w:t>Force est de constater que, de manière générale, le recourant - pourtant assisté d'un mandataire professionnel - présente une argumentation prolixe et souvent confuse, mélangeant abondamment les faits et le droit. Il ne satisfait ainsi pas aux exigences de motivation, dès lors qu'il ne s'en prend pas de manière claire et détaillée à la motivation cantonale, tant sous l'angle du droit que de l'établissement des faits. Le recourant présente en outre une argumentation appellatoire et ne fait essentiellement qu'opposer sa propre appréciation de la situation à celle de l'autorité cantonale. La recevabilité du recours est ainsi d'emblée douteuse sous l'angle de la motivation (cf. supra consid. 2). Par ailleurs, en tant que le grief du recourant relatif à l'existence d'un abus de droit au sens de l' art. 2 al. 2 CC n'est pas invoqué sous l'angle de la violation d'un droit constitutionnel, sa recevabilité est également sujette à caution (cf. arrêt 5A_818/2021 du 8 octobre 2021 consid. 4).</w:t>
      </w:r>
    </w:p>
    <w:p>
      <w:r>
        <w:rPr>
          <w:b/>
        </w:rPr>
        <w:t>E. 3.2.1</w:t>
      </w:r>
    </w:p>
    <w:p>
      <w:r>
        <w:t>S'agissant des questions relatives à l'enfant, l'autorité cantonale a en premier lieu retenu - en se référant à la motivation du jugement de divorce - que le juge suisse était habilité à se dessaisir des questions non pécuniaires relatives à l'enfant C.________ après le départ - licite - de celle-ci en Macédoine du Nord et l'intervention des autorités macédoniennes en vue de rendre une décision à son égard, susceptible d'être reconnue en Suisse. A cet égard, la juridiction précédente a ajouté que le père ne s'était prévalu d'aucun motif qui ferait obstacle à la reconnaissance des décisions rendues par les autorités du lieu de la résidence habituelle de l'enfant et qui empêcherait le dessaisissement du juge suisse au profit de celles-ci. Elle a précisé qu'il ne s'agissait pas d'apprécier, à l'aune du droit suisse, le bien-fondé des décisions étrangères, mais uniquement de s'assurer qu'elles pourraient être reconnues en Suisse en vertu des règles de droit international privé applicables. En second lieu, la cour cantonale a considéré que, quand bien même l'autorité de première instance se serait déclarée compétente pour traiter la requête de mesures provisionnelles du 15 janvier 2024, cette dernière aurait de toute manière dû être rejetée, le caractère nouveau et important des faits invoqués à l'appui de la requête devant être nié.</w:t>
      </w:r>
    </w:p>
    <w:p>
      <w:r>
        <w:rPr>
          <w:b/>
        </w:rPr>
        <w:t>E. 3.2.2</w:t>
      </w:r>
    </w:p>
    <w:p>
      <w:r>
        <w:t>En l'espèce, le recourant ne s'en prend (valablement) à aucun des deux pans susexposés de la motivation cantonale. Or, lorsque - comme en l'espèce - 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 Il s'ensuit que les critiques du recourant sont irrecevables.</w:t>
      </w:r>
    </w:p>
    <w:p>
      <w:r>
        <w:rPr>
          <w:b/>
        </w:rPr>
        <w:t>E. 3.3</w:t>
      </w:r>
    </w:p>
    <w:p>
      <w:r>
        <w:t>En ce qui concerne par ailleurs la prétendue violation de son droit d'être entendu en relation avec l'audition des parents, le recourant ne s'en prend pas à l'argumentation de l'autorité cantonale à cet égard, ce qui rend son grief irrecevable. S'agissant en outre de la suppression de la contribution d'entretien en faveur de l'épouse, l'intéressé affirme ne pas contester que cette question est devenue sans objet dans le cadre des mesures provisionnelles, de sorte que sa critique est, là encore, irrecevable.</w:t>
      </w:r>
    </w:p>
    <w:p>
      <w:r>
        <w:rPr>
          <w:b/>
        </w:rPr>
        <w:t>E. 4</w:t>
      </w:r>
    </w:p>
    <w:p>
      <w:r>
        <w:t>Vu ce qui précède, le recours doit être déclaré irrecevable selon la procédure simplifiée de l' art. 108 al. 1 let. b LTF . Le recourant, qui succombe, supportera les frais judiciaires de l'instance fédérale ( art. 66 al. 1 LTF ). Il n'est pas alloué de dépens à l'intimée, qui n'a pas été invitée à se déterminer ( art. 68 al. 1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