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297/2021 vom 29. Oktober 2021</w:t>
      </w:r>
    </w:p>
    <w:p>
      <w:r>
        <w:t>Bundesgericht, 2021-10-29, DE</w:t>
      </w:r>
    </w:p>
    <w:p>
      <w:r>
        <w:rPr>
          <w:b/>
        </w:rPr>
        <w:t xml:space="preserve">Quelle: </w:t>
      </w:r>
      <w:r>
        <w:t>https://mcp.opencaselaw.ch/entscheid/bger_5A_297_2021</w:t>
      </w:r>
    </w:p>
    <w:p>
      <w:r>
        <w:t>FR: TF 5A 297/2021 du 29 octobre 2021</w:t>
      </w:r>
    </w:p>
    <w:p>
      <w:r>
        <w:t>IT: TF 5A 297/2021 del 29 ottobre 2021</w:t>
      </w:r>
    </w:p>
    <w:p>
      <w:pPr>
        <w:pStyle w:val="Heading2"/>
      </w:pPr>
      <w:r>
        <w:t>Regeste</w:t>
      </w:r>
    </w:p>
    <w:p>
      <w:r>
        <w:t>Nachbarrecht | Sachenrecht</w:t>
      </w:r>
    </w:p>
    <w:p>
      <w:pPr>
        <w:pStyle w:val="Heading2"/>
      </w:pPr>
      <w:r>
        <w:t>Erwägungen</w:t>
      </w:r>
    </w:p>
    <w:p>
      <w:r>
        <w:rPr>
          <w:b/>
        </w:rPr>
        <w:t>E. 1</w:t>
      </w:r>
    </w:p>
    <w:p>
      <w:r>
        <w:t>Das Bundesgericht prüft frei und ohne Bindung an die Parteianträge, ob auf eine Beschwerde eingetreten werden kann ( BGE 146 I 126 E. 1).</w:t>
      </w:r>
    </w:p>
    <w:p>
      <w:r>
        <w:rPr>
          <w:b/>
        </w:rPr>
        <w:t>E. 2</w:t>
      </w:r>
    </w:p>
    <w:p>
      <w:r>
        <w:t>Angefochten ist das Urteil einer letzten kantonalen Instanz, die als Rechtsmittelinstanz über die Zulässigkeit einer gegen die Beschwerdegegnerin 2 gerichteten Klage in einem nachbarrechtlichen Streit entschieden hat ( Art. 75 BGG ). Dabei handelt es um eine Zivilsache ( Art. 72 Abs. 1 BGG ) vermögensrechtlicher Natur ( BGE 52 II 292 E. 1 S. 292 f.; 45 II 402 E. 1 S. 405; vgl. aus der neueren Rechtsprechung z.B. Urteil 5D_91/2020 vom 7. September 2020 E. 1; 5A_85/2016 vom 23. August 2016 E. 1.1; 5C.200/2005 vom 21. Oktober 2005 E. 1.2, nicht publ. in: BGE 132 III 6 , aber in: SZZP 2006 S. 8). Der von der Vorinstanz angegebene Streitwert von Fr. 20'000.-- liegt unter Fr. 30'000.--, weshalb auf die Beschwerde in Zivilsachen nur unter der Voraussetzung eingetreten werden kann, dass sich eine Frage von grundsätzlicher Bedeutung stellt (Art. 74 Abs. 2 Bst. a BGG). Die Beschwerdeführer behaupten, dass dies hier der Fall sei. Wie es sich damit verhält, kann aufgrund des im Folgenden Gesagten offen bleiben.</w:t>
      </w:r>
    </w:p>
    <w:p>
      <w:r>
        <w:rPr>
          <w:b/>
        </w:rPr>
        <w:t>E. 3.1</w:t>
      </w:r>
    </w:p>
    <w:p>
      <w:r>
        <w:t>Das Urteil der Vorinstanz, die Sache zur Weiterbehandlung der Klage gegen die Beschwerdeführerin 2 an das Bezirksgericht zurückzuweisen, ist ein selbständig eröffneter Zwischenentscheid. Sieht man vom hier nicht einschlägigen Art. 92 BGG über Zuständigkeit und Ausstandsbegehren ab, kann ein Vor- und Zwischenentscheid vor Bundesgericht nur unter den Voraussetzungen von Art. 93 Abs. 1 BGG angefochten werden. Entweder muss den Beschwerdeführern durch den Vor- oder Zwischenentscheid ein nicht wieder gutzumachender Nachteil drohen (Bst. a) oder die Gutheissung der Beschwerde würde (erstens) einen sofortigen Endentscheid herbeiführen und damit (zweitens) einen bedeutenden Aufwand an Zeit oder Kosten für ein weitläufiges Beweisverfahren ersparen (Bst. b). Die beiden in Art. 93 Abs. 1 Bst. b BGG genannten Voraussetzungen müssen kumulativ erfüllt sein ( BGE 133 III 629 E. 2.4.1). Laut dem zutreffenden französischen Gesetzestext muss das durch den sofortigen Endentscheid entfallende Beweisverfahren ausserdem sowohl lang als auch kostspielig ("une procédure probatoire longue et coûteuse") sein (s. CORBOZ, in: Commentaire de la LTF, 2. Aufl. 2014, N 32 zu Art. 93 BGG ; vgl. demgegenüber die italienische Fassung: "une procedura probatoria defatiganteo dispendiosa"). Nach der Rechtsprechung obliegt es dabei der Beschwerde führenden Partei darzutun, dass eine der beiden Voraussetzungen nach Art. 93 Abs. 1 BGG erfüllt ist ( BGE 137 III 324 E. 1.1; 134 III 426 E. 1.2), es sei denn, deren Vorliegen springe geradezu in die Augen ( BGE 141 III 80 E. 1.2; 138 III 46 E. 1.2).</w:t>
      </w:r>
    </w:p>
    <w:p>
      <w:r>
        <w:rPr>
          <w:b/>
        </w:rPr>
        <w:t>E. 3.2</w:t>
      </w:r>
    </w:p>
    <w:p>
      <w:r>
        <w:t>Die Beschwerdeführer behaupten zu Recht nicht, dass ihnen ein nicht wieder gutzumachender Nachteil gemäss Art. 93 Abs. 1 Bst. a BGG droht. Sie berufen sich ausschliesslich auf Art. 93 Abs. 1 Bst. b BGG, indem sie geltend machen, dass im Fall des Nichteintretens auf die Klage gegen die Beschwerdeführerin 2 ein Endentscheid herbeigeführt werden könne und damit ein bedeutender Aufwand an Zeit "oder" Kosten für ein weitläufiges Beweisverfahren erspart werde. Damit verkennen die Beschwerdeführer allerdings die Rechtslage. Zwar trifft es zu, dass das Bundesgericht bei Gutheissung der Beschwerde und der Bestätigung des erstinstanzlichen Nichteintretensentscheids einen sofortigen Endentscheid gegenüber der Beschwerdeführerin herbeiführen könnte. Allein daraus folgt nun aber noch nicht, dass durch diesen Endentscheid ein bedeutender Aufwand an Zeit und (E. 3.1) Kosten für ein weitläufiges Beweisverfahren vermieden wird. Es liegt wie erwähnt an den Beschwerdeführern, in ihrer Beschwerde darzulegen, dass ein sofortiger Endentscheid zu dieser Ersparnis führt ( BGE 133 III 629 E. 2.4.1 und 2.4.2). Das tun sie nicht. Ebenso wenig springt dieser zusätzliche Aufwand ins Auge, wenn die Klage gegen die Beschwerdeführerin 2 vorerst fortgesetzt wird. Im Übrigen bleibt es der Beschwerdeführerin 2 unbenommen, den späteren Endentscheid erneut dem Bundesgericht zu unterbreiten, wenn sie der Meinung ist, dass auf die Klage gegen sie nicht hätte eingetreten werden dürfen ( Art. 93 Abs. 3 BGG ). Auf die Beschwerde in Zivilsachen kann damit nicht eingetreten werden. Weiterungen erübrigen sich. Namentlich kann auch offen bleiben, inwieweit der Beschwerdeführer 1 überhaupt ein schützenswertes Interesse an der Aufhebung oder Änderung des angefochtenen Entscheids hat ( Art. 76 BGG ).</w:t>
      </w:r>
    </w:p>
    <w:p>
      <w:r>
        <w:rPr>
          <w:b/>
        </w:rPr>
        <w:t>E. 4</w:t>
      </w:r>
    </w:p>
    <w:p>
      <w:r>
        <w:t>Art. 93 BGG erfasst nicht nur die Beschwerde in Zivilsachen, sondern gilt auch für die subsidiäre Verfassungsbeschwerde ( Art. 117 BGG ). Auch auf eine solche tritt das Bundesgericht nur unter der Voraussetzung ein, dass die Beschwerde eine der in Art. 93 BGG erwähnten Voraussetzungen erfüllt.</w:t>
      </w:r>
    </w:p>
    <w:p>
      <w:r>
        <w:rPr>
          <w:b/>
        </w:rPr>
        <w:t>E. 5</w:t>
      </w:r>
    </w:p>
    <w:p>
      <w:r>
        <w:t>Nach dem Gesagten kann weder auf die Beschwerde in Zivilsachen noch auf die subsidiäre Verfassungsbeschwerde eingetreten werden. Bei diesem Ausgang des Verfahrens werden die Beschwerdeführer kostenpflichtig ( Art. 66 Abs. 1 BGG ). Den Beschwerdegegnern, die nicht zur Vernehmlassung eingeladen worden sind, ist keine Entschädigung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