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5A_296/2020 vom 30. April 2020</w:t>
      </w:r>
    </w:p>
    <w:p>
      <w:r>
        <w:t>Bundesgericht, 2020-04-30, DE</w:t>
      </w:r>
    </w:p>
    <w:p>
      <w:r>
        <w:rPr>
          <w:b/>
        </w:rPr>
        <w:t xml:space="preserve">Quelle: </w:t>
      </w:r>
      <w:r>
        <w:t>https://mcp.opencaselaw.ch/entscheid/bger_5A_296_2020</w:t>
      </w:r>
    </w:p>
    <w:p>
      <w:r>
        <w:t>FR: TF 5A_296/2020 du 30 avril 2020</w:t>
      </w:r>
    </w:p>
    <w:p>
      <w:r>
        <w:t>IT: TF 5A_296/2020 del 30 aprile 2020</w:t>
      </w:r>
    </w:p>
    <w:p>
      <w:pPr>
        <w:pStyle w:val="Heading2"/>
      </w:pPr>
      <w:r>
        <w:t>Erwägungen</w:t>
      </w:r>
    </w:p>
    <w:p>
      <w:r>
        <w:rPr>
          <w:b/>
        </w:rPr>
        <w:t>E. 1</w:t>
      </w:r>
    </w:p>
    <w:p>
      <w:r>
        <w:t>Der Entscheid vom 21. April 2020 liegt bislang wie gesagt nur im Dispositiv vor. Beim Bundesgericht angefochten werden kann jedoch erst der vollständig ausgefertigte, d.h. begründete Entscheid ( Art. 112 Abs. 1 und 2 BGG ), wie dies im Übrigen in der Rechtsmittelbelehrung auch erwähnt ist. Die Beschwerdeführerin wird mit anderen Worten mit einer neuen Eingabe an das Bundesgericht gelangen müssen. Dabei wird auch zu beachten sein, dass in der Beschwerde darzulegen ist, inwiefern der angefochtene Entscheid Recht verletzt ( Art. 42 Abs. 2 BGG ), was eine sachbezogene Auseinandersetzung mit dessen Begründung erfordert ( BGE 140 III 115 E. 2 S. 116; 142 III 364 E. 2.4 S. 368).</w:t>
      </w:r>
    </w:p>
    <w:p>
      <w:r>
        <w:rPr>
          <w:b/>
        </w:rPr>
        <w:t>E. 2</w:t>
      </w:r>
    </w:p>
    <w:p>
      <w:r>
        <w:t>Nach dem Gesagten ist auf die Beschwerde im vereinfachten Verfahren nach Art. 108 Abs. 1 lit. a BGG nicht einzutreten.</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