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5A_296/2013 vom 9. Juli 2013</w:t>
      </w:r>
    </w:p>
    <w:p>
      <w:r>
        <w:t>Bundesgericht, 2013-07-09, DE</w:t>
      </w:r>
    </w:p>
    <w:p>
      <w:r>
        <w:rPr>
          <w:b/>
        </w:rPr>
        <w:t xml:space="preserve">Quelle: </w:t>
      </w:r>
      <w:r>
        <w:t>https://mcp.opencaselaw.ch/entscheid/bger_5A_296_2013</w:t>
      </w:r>
    </w:p>
    <w:p>
      <w:r>
        <w:t>FR: TF 5A_296/2013 du 9 juillet 2013</w:t>
      </w:r>
    </w:p>
    <w:p>
      <w:r>
        <w:t>IT: TF 5A_296/2013 del 9 luglio 2013</w:t>
      </w:r>
    </w:p>
    <w:p>
      <w:pPr>
        <w:pStyle w:val="Heading2"/>
      </w:pPr>
      <w:r>
        <w:t>Erwägungen</w:t>
      </w:r>
    </w:p>
    <w:p>
      <w:r>
        <w:rPr>
          <w:b/>
        </w:rPr>
        <w:t>E. 1</w:t>
      </w:r>
    </w:p>
    <w:p>
      <w:r>
        <w:t>Angefochten ist - binnen Frist - ein Entscheid der Aufsichtsbehörde in Betreibungs- und Konkurssachen, so dass die Beschwerde in Zivilsachen ohne Rücksicht auf den Streitwert zulässig ist ( Art. 72 Abs. 2 lit. a, Art. 74 Abs. 2 lit. c; Art. 100 Abs. 2 lit. a BGG ). Die subsidiäre Verfassungsbeschwerde ist somit unzulässig ( Art. 113 BGG ) und die Eingabe des Beschwerdeführers insgesamt als Beschwerde in Zivilsachen zu behandeln.</w:t>
      </w:r>
    </w:p>
    <w:p>
      <w:r>
        <w:rPr>
          <w:b/>
        </w:rPr>
        <w:t>E. 2</w:t>
      </w:r>
    </w:p>
    <w:p>
      <w:r>
        <w:t>In erster Linie macht der Beschwerdeführer eine Verletzung seines Anspruchs auf rechtliches Gehör geltend. Er habe vor Bezirksgericht die Vernehmlassungen des Betreibungsamts und der Gläubiger erst nach der Urteilsfällung erhalten und deshalb sei sein Recht zur Stellungnahme verletzt worden. Das Obergericht sei zu Unrecht davon ausgegangen, dass der Mangel im Rechtsmittelverfahren geheilt werden könne.</w:t>
      </w:r>
    </w:p>
    <w:p>
      <w:r>
        <w:t>Das Obergericht hat diesbezüglich festgehalten, der Entscheid des Bezirksgerichts leide zwar an einem gravierenden Mangel. Der Mangel könne jedoch geheilt werden, da die Rechtsmittelinstanz über die gleiche Kognition verfüge wie das Bezirksgericht und sich der Beschwerdeführer auch vor Obergericht zu den Vernehmlassungen hätte äussern können, was er jedoch nicht in rechtsgenüglicher Weise getan habe.</w:t>
      </w:r>
    </w:p>
    <w:p>
      <w:r>
        <w:rPr>
          <w:b/>
        </w:rPr>
        <w:t>E. 3.1</w:t>
      </w:r>
    </w:p>
    <w:p>
      <w:r>
        <w:t>Gemäss Art. 29 Abs. 2 BV haben die Parteien Anspruch auf rechtliches Gehör. Das Recht, angehört zu werden, ist formeller Natur. Dessen Verletzung führt ungeachtet der materiellen Begründetheit des Rechtsmittels zur Gutheissung der Beschwerde und zur Aufhebung des angefochtenen Entscheids. Die Garantie umfasst auch das Recht, von den beim Gericht eingereichten Stellungnahmen Kenntnis zu erhalten und sich dazu äussern zu können (sog. Replikrecht). Die Wahrnehmung des Replikrechts setzt voraus, dass die fragliche Eingabe der Partei vor Erlass des Urteils zugestellt wird, damit sie sich darüber schlüssig werden kann, ob sie sich dazu äussern will oder nicht ( BGE 137 I 195 E. 2.2 und 2.3.1 S. 197 mit zahlreichen Hinweisen).</w:t>
      </w:r>
    </w:p>
    <w:p>
      <w:r>
        <w:t>Es obliegt dem Gericht, in jedem Einzelfall den Parteien ein effektives Replikrecht zu gewähren. Es kann dem Betroffenen hiefür eine Frist setzen ( BGE 133 V 196 E. 1.2 S. 197 f.). Indes genügt grundsätzlich, dass den Parteien die Eingaben zur Information (Kenntnisnahme, Orientierung) zugestellt werden, wenn von ihnen, namentlich von anwaltlich Vertretenen oder Rechtskundigen, erwartet werden kann, dass sie unaufgefordert Stellung nehmen ( BGE 138 I 484 E. 2.4 S. 487). Das Gericht hat bei der letztgenannten Vorgehensweise mit der Entscheidfällung so lange zuzuwarten, bis es annehmen darf, der Adressat habe auf eine weitere Eingabe verzichtet (Urteil 2C_560/2012 vom 21. Januar 2013 E. 4.4, in: StR 68/2013 S. 405; vgl. auch Urteil des EGMR in Sachen</w:t>
      </w:r>
    </w:p>
    <w:p>
      <w:r>
        <w:t>Joos gegen Schweiz vom 15. November 2012 §§ 27 ff.).</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137 I 195 E. 2.3.2 S. 197 f. mit Hinweisen).</w:t>
      </w:r>
    </w:p>
    <w:p>
      <w:r>
        <w:rPr>
          <w:b/>
        </w:rPr>
        <w:t>E. 3.2</w:t>
      </w:r>
    </w:p>
    <w:p>
      <w:r>
        <w:t>Vorliegend hat das Bezirksgericht die Vernehmlassungen dem Beschwerdeführer zwar zugeschickt, es hat das Urteil aber gefällt, noch bevor der Beschwerdeführer die Sendung auf der Post abgeholt hat. Zu Recht hat das Obergericht darin eine schwere Verletzung des rechtlichen Gehörs gesehen. Wie soeben gesagt, kommt bei einer schwerwiegenden Verletzung des rechtlichen Gehörs die Heilung des Mangels vor der Rechtsmittelinstanz nur in seltenen Ausnahmefällen in Betracht. Ein solcher liegt nicht vor. Es ist nicht ersichtlich und wird vom Obergericht auch nicht ausgeführt, inwiefern die Rückweisung zu einem formalistischen Leerlauf und unnötigen Verzögerungen geführt hätte. Das Interesse des Beschwerdeführers, den Instanzenzug vollumfänglich durchlaufen zu können und mit seinen Einwänden gegen die Vernehmlassungen nicht erst vor der oberen Aufsichtsbehörde gehört zu werden, bedeutet jedenfalls keinen formalistischen Leerlauf. In diesem Zusammenhang ist auch darauf hinzuweisen, dass der Beschwerdeführer bereits am 14. Januar 2013 mit einer Eingabe an das Bezirksgericht zu den Vernehmlassungen Stellung genommen haben will (vgl. die dem Obergericht eingereichte Postquittung; act. 19/2), wobei sich diese Eingabe in den bezirksgerichtlichen Akten jedoch nicht findet, worauf bereits das Obergericht hingewiesen hat. Gibt es demnach keine zwingenden Gründe, die Heilung der Verletzung des rechtlichen Gehörs ausnahmsweise zuzulassen, ist das angefochtene Urteil aufzuheben und die Sache an das Bezirksgericht zurückzuweisen. Unter diesen Umständen ist derzeit auf die weiteren Beschwerdegründe nicht einzugehen. Zugleich erübrigt es sich, auf die nachträglichen Vorbringen über die Führung des Betreibungsregisters und die Erstellung eines Registerauszugs einzugehen. Soweit diese Vorbringen mit der Gewährung der aufschiebenden Wirkung zusammenhängen, werden sie mit dem vorliegenden Entscheid gegenstandslos.</w:t>
      </w:r>
    </w:p>
    <w:p>
      <w:r>
        <w:rPr>
          <w:b/>
        </w:rPr>
        <w:t>E. 4</w:t>
      </w:r>
    </w:p>
    <w:p>
      <w:r>
        <w:t>Gerichtskosten sind keine zu erheben ( Art. 66 Abs. 1 BGG ). Der Beschwerdeführer ist nicht anwaltlich vertreten, so dass ihm keine Parteientschädigung zuzusprechen ist ( Art. 68 Abs. 1 BGG ; BGE 135 III 127 E. 4 S. 136).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