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5A_295/2025 vom 26. Mai 2025</w:t>
      </w:r>
    </w:p>
    <w:p>
      <w:r>
        <w:t>Bundesgericht, 2025-05-26, IT</w:t>
      </w:r>
    </w:p>
    <w:p>
      <w:r>
        <w:rPr>
          <w:b/>
        </w:rPr>
        <w:t xml:space="preserve">Quelle: </w:t>
      </w:r>
      <w:r>
        <w:t>https://mcp.opencaselaw.ch/entscheid/bger_5A_295_2025</w:t>
      </w:r>
    </w:p>
    <w:p>
      <w:r>
        <w:t>FR: TF 5A_295/2025 du 26 mai 2025</w:t>
      </w:r>
    </w:p>
    <w:p>
      <w:r>
        <w:t>IT: TF 5A_295/2025 del 26 maggio 2025</w:t>
      </w:r>
    </w:p>
    <w:p>
      <w:pPr>
        <w:pStyle w:val="Heading2"/>
      </w:pPr>
      <w:r>
        <w:t>Erwägungen</w:t>
      </w:r>
    </w:p>
    <w:p>
      <w:r>
        <w:rPr>
          <w:b/>
        </w:rPr>
        <w:t>E. 1</w:t>
      </w:r>
    </w:p>
    <w:p>
      <w:r>
        <w:t>Nell'esecuzione promossa da B.________ nei confronti di A.________ per l'incasso di pigioni e spese per fr. 29'110.-- oltre a interessi, il 23 gennaio 2025 l'Ufficio di esecuzione sede di Bellinzona (UE) ha emesso il verbale di pignoramento per il 3 settembre 2025.</w:t>
      </w:r>
    </w:p>
    <w:p>
      <w:r>
        <w:t>Mediante sentenza 9 aprile 2025 la Camera di esecuzione e fallimenti del Tribunale d'appello del Cantone Ticino, quale autorità di vigilanza, ha respinto, nella misura della sua ammissibilità, il ricorso presentato il 4 febbraio 2025 da A.________ avverso l'operato dell'UE. L'autorità di vigilanza ha osservato che l'onere della prova della tempestiva (v. art. 74 cpv. 1 LEF ) opposizione al precetto esecutivo incombeva all'escussa e che in concreto, in assenza di tale prova, nulla ostava all'emissione dell'avviso di pignoramento. L'autorità di vigilanza ha poi precisato che le altre censure ricorsuali attenevano al credito posto in esecuzione e non rientravano quindi nella competenza dell'UE o dell'autorità di vigilanza, bensì in quella del giudice civile e potevano quindi semmai essere riproposte dalla ricorrente con un'azione di annullamento dell'esecuzione in virtù dell' art. 85a LEF .</w:t>
      </w:r>
    </w:p>
    <w:p>
      <w:r>
        <w:rPr>
          <w:b/>
        </w:rPr>
        <w:t>E. 2</w:t>
      </w:r>
    </w:p>
    <w:p>
      <w:r>
        <w:t>Mediante ricorso 16 aprile 2025 A.________ ha impugnato la sentenza dell'autorità di vigilanza dinanzi al Tribunale federale, chiedendo l'annullamento dell'esecuzione " in virtù dell' art. 85a LEF ".</w:t>
      </w:r>
    </w:p>
    <w:p>
      <w:r>
        <w:t>Non sono state chieste determinazioni.</w:t>
      </w:r>
    </w:p>
    <w:p>
      <w:r>
        <w:rPr>
          <w:b/>
        </w:rPr>
        <w:t>E. 3</w:t>
      </w:r>
    </w:p>
    <w:p>
      <w:r>
        <w:t>Il rimedio all'esame può essere trattato quale ricorso in materia civile (art. 72 cpv. 2 lett. a e art. 74 cpv. 2 lett. c LTF).</w:t>
      </w:r>
    </w:p>
    <w:p>
      <w:r>
        <w:t>L'atto ricorsuale al Tribunale federale deve contenere le conclusioni 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t>Nel gravame all'esame la ricorrente afferma di aver sempre pagato la pigione tramite una società terza con l'accordo dell'escutente, di averla anche pagata per un anno intero senza utilizzare il bene locato, di aver concordato a voce l'abbassamento della pigione e di aver consegnato la chiave ad ottobre 2024 "e quindi perché richiedere l'affitto fino al mese di dicembre 2024? ".</w:t>
      </w:r>
    </w:p>
    <w:p>
      <w:r>
        <w:t>Attraverso tale argomentazione la ricorrente si limita tuttavia a proporre censure concernenti la validità del credito posto in esecuzione, che - come già spiegato in sede cantonale - esulavano dal potere di cognizione dell'autorità di vigilanza. Con l'argomentazione di quest'ultima autorità circa la regolarità dell'operato dell'UE ella invece non si confronta minimamente e non spiega perché violerebbe il diritto. Il suo rimedio non soddisfa pertanto le esigenze di motivazione previste dall' art. 42 cpv. 2 LTF e ancor meno quelle accresciute dell' art. 106 cpv. 2 LTF .</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 Non si assegnano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