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295/2024 vom 13. Mai 2024</w:t>
      </w:r>
    </w:p>
    <w:p>
      <w:r>
        <w:t>Bundesgericht, 2024-05-13, DE</w:t>
      </w:r>
    </w:p>
    <w:p>
      <w:r>
        <w:rPr>
          <w:b/>
        </w:rPr>
        <w:t xml:space="preserve">Quelle: </w:t>
      </w:r>
      <w:r>
        <w:t>https://mcp.opencaselaw.ch/entscheid/bger_5A_295_2024</w:t>
      </w:r>
    </w:p>
    <w:p>
      <w:r>
        <w:t>FR: TF 5A 295/2024 du 13 mai 2024</w:t>
      </w:r>
    </w:p>
    <w:p>
      <w:r>
        <w:t>IT: TF 5A 295/2024 del 13 maggio 2024</w:t>
      </w:r>
    </w:p>
    <w:p>
      <w:pPr>
        <w:pStyle w:val="Heading2"/>
      </w:pPr>
      <w:r>
        <w:t>Regeste</w:t>
      </w:r>
    </w:p>
    <w:p>
      <w:r>
        <w:t>Kostenerlass (Kindesbelange) | Familienrecht</w:t>
      </w:r>
    </w:p>
    <w:p>
      <w:pPr>
        <w:pStyle w:val="Heading2"/>
      </w:pPr>
      <w:r>
        <w:t>Erwägungen</w:t>
      </w:r>
    </w:p>
    <w:p>
      <w:r>
        <w:rPr>
          <w:b/>
        </w:rPr>
        <w:t>E. 1</w:t>
      </w:r>
    </w:p>
    <w:p>
      <w:r>
        <w:t>Angefochten ist ein kantonal letztinstanzlicher Entscheid betreffend den Erlass von Gerichtskosten in der Höhe Fr. 300.--. Der für die Beschwerde in Zivilsachen erforderliche Mindeststreitwert von Fr. 30'000.-- ist nicht erreicht ( Art. 74 Abs. 1 lit. a BGG ), weshalb - entgegen der Rechtsmittelbelehrung, welche indes kein nicht gegebenes Rechtsmittel schaffen kann, selbst wenn sie falsch ist ( BGE 108 III 23 E. 3; 112 Ib 538 E. 1; 129 III 88 E. 2.1; 129 IV 197 E. 1.5) - nur die subsidiäre Verfassungsbeschwerde offen steht ( Art. 113 BGG ). Mit dieser kann einzig die Verletzung verfassungsmässiger Rechte gerügt werden ( Art. 116 BGG ), wofür das strenge Rügeprinzip gilt (Art. 106 Abs. 2 i.V.m. Art. 117 BGG ). Weil sich die Frage des Gebührenerlasses vorliegend nach kantonalem Recht richtet und dessen Anwendung vom Bundesgericht ohnehin nur auf Verfassungsverletzungen hin überprüft werden kann ( BGE 140 III 385 E. 2.3; 142 III 153 E. 2.5 ; 145 I 108 E. 4.4.1), spielt es im Ergebnis keine Rolle, welches Rechtsmittel offensteht; dem Beschwerdeführer entsteht insofern kein Nachteil. So oder anders hat die Beschwerde im Übrigen ein Rechtsbegehren in der Sache zu enthalten ( Art. 42 Abs. 1 BGG ).</w:t>
      </w:r>
    </w:p>
    <w:p>
      <w:r>
        <w:rPr>
          <w:b/>
        </w:rPr>
        <w:t>E. 2</w:t>
      </w:r>
    </w:p>
    <w:p>
      <w:r>
        <w:t>Der Beschwerdeführer stellt kein Rechtsbegehren und er erhebt nicht nur keine Verfassungsrügen, sondern die Ausführungen würden nicht einmal den allgemeinen Begründungsanforderungen von Art. 42 Abs. 2 BGG genügen, denn er setzt sich nicht mit den konkreten Erwägungen des angefochtenen Entscheides auseinander. In erster Linie macht er an der Sache vorbei geltend, seine Anwältin habe ihn erpresst, B.________ lerne in der Kita falsche Dinge und werde den ganzen Tag nur mit Früchten "gefüttert" statt mit Mahlzeiten versorgt, B.________ sei nicht von Besuchen bei ihm, sondern durch die Aufenthalte bei der Mutter traumatisiert, in den Akten werde alles verdreht u.ä.m. Sinngemäss auf die Sache bezogen ist höchstens die Aussage, er habe in einem Verfahren im Jahr 2021 die unentgeltliche Rechtspflege erhalten und es gehe nicht an, dass das Kantonsgericht vorliegend daran festhalte, dass er die Kosten tragen könne, obwohl ihm die finanziellen Mittel fehlen würden. Indes setzt er sich nicht konkret mit den ausführlichen Erwägungen des angefochtenen Entscheides auseinander (er verfüge gemäss rechtskräftigem in Fünferbesetzung gefällten Beschluss vom 14. Dezember 2023 über einen monatlichen Überschuss von Fr. 1'100.--; auch wenn er vorübergehend ein tieferes Einkommen erziele, resultiere immer noch ein Überschuss; im Übrigen sei er voll arbeitsfähig und es bestünden keine Anhaltspunkte, dass er dauerhaft nicht der Lage wäre, sein Erwerbseinkommen wieder auf das frühere Niveau zu steigern; insgesamt liege kein einen Kostenerlass rechtfertigender Härtefall im Sinn von § 5 Abs. 2 GebT/BL vor).</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 Kostenauferlegung im parallelen Verfahren 5A_294/2024 in Verbindung mit der Tatsache, dass der Beschwerdeführer in beiden Verfahren (allerdings separat) die identische Beschwerdeschrift eingereicht hat - ist vorliegend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