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5A_295/2023 vom 15. August 2023</w:t>
      </w:r>
    </w:p>
    <w:p>
      <w:r>
        <w:t>Bundesgericht, 2023-08-15, FR</w:t>
      </w:r>
    </w:p>
    <w:p>
      <w:r>
        <w:rPr>
          <w:b/>
        </w:rPr>
        <w:t xml:space="preserve">Quelle: </w:t>
      </w:r>
      <w:r>
        <w:t>https://mcp.opencaselaw.ch/entscheid/bger_5A_295_2023</w:t>
      </w:r>
    </w:p>
    <w:p>
      <w:r>
        <w:t>FR: TF 5A_295/2023 du 15 août 2023</w:t>
      </w:r>
    </w:p>
    <w:p>
      <w:r>
        <w:t>IT: TF 5A_295/2023 del 15 agosto 2023</w:t>
      </w:r>
    </w:p>
    <w:p>
      <w:pPr>
        <w:pStyle w:val="Heading2"/>
      </w:pPr>
      <w:r>
        <w:t>Erwägungen</w:t>
      </w:r>
    </w:p>
    <w:p>
      <w:r>
        <w:rPr>
          <w:b/>
        </w:rPr>
        <w:t>E. 1.1</w:t>
      </w:r>
    </w:p>
    <w:p>
      <w:r>
        <w:t>Bien que le mémoire de recours ait été rédigé en allemand, le présent arrêt sera rendu en français, langue de la décision attaquée, conformément à l' art. 54 al. 1 LTF .</w:t>
      </w:r>
    </w:p>
    <w:p>
      <w:r>
        <w:rPr>
          <w:b/>
        </w:rPr>
        <w:t>E. 1.2</w:t>
      </w:r>
    </w:p>
    <w:p>
      <w:r>
        <w:t>Le recours a été déposé en temps utile (art. 100 al. 1</w:t>
      </w:r>
    </w:p>
    <w:p>
      <w:r>
        <w:t>cum 46 al. 1 let. b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1.3</w:t>
      </w:r>
    </w:p>
    <w:p>
      <w:r>
        <w:t>Toute conclusion nouvelle est irrecevable ( art. 99 al. 1 LTF ). Partant, le recourant n'ayant pas recouru devant l'instance cantonale, sa conclusion en réforme prise en instance fédérale est irrecevable, en tant qu'elle excède le dispositif de la décision de première instance prononçant la mainlevée de l'opposition à concurrence de 100'054 fr. 25, avec intérêts à 5% l'an dès le 30 juin 2021, ainsi que pour les frais de poursuites.</w:t>
      </w:r>
    </w:p>
    <w:p>
      <w:r>
        <w:t>Par ailleurs, selon un principe général de procédure, les conclusions constatatoires ne sont recevables que lorsque des conclusions condamnatoires ou formatrices sont exclues; les conclusions constatatoires ont donc un caractère subsidiaire ( ATF 141 II 113 consid. 1.7; arrêt 5A_693/2022 du 6 mars 2023 consid. 1.2). Partant, les conclusions du recourant tendant à faire constater qu'il n'est plus débiteur d'une quelconque dette en exécution du contrat de cautionnement sont irrecevables, puisque celle, réformatoire, tendant à ce que l'intimée soit déboutée de ses conclusions en mainlevée est suffisante.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w:t>
      </w:r>
    </w:p>
    <w:p>
      <w:r>
        <w:t>Lorsque, comme en l'espèce, l'autorité précédente était saisie d'un recours</w:t>
      </w:r>
    </w:p>
    <w:p>
      <w:r>
        <w:t>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 5A_972/2021 du 2 février 2023 consid. 1.3 et les autres références).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 5A_388/2011 du 19 août 2011 consid. 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 5A_455/2022 du 9 novembre 2022 consid. 3.2 et les références).</w:t>
      </w:r>
    </w:p>
    <w:p>
      <w:r>
        <w:t>En l'espèce, le recourant dissémine dans son recours des reproches d'arbitraire dans l'établissement des faits. Outre que la majorité de ceux-ci tend en réalité à discuter les conséquences juridiques de l'adjudication d'un immeuble au créancier gagiste lui-même, il ne présente aucune argumentation conforme aux réquisits susmentionnés. Au contraire, dans ses propos confus, le recourant se borne en effet à opposer sa propre version des faits, sans exposer les moyens de preuve que l'autorité cantonale aurait ignorés. Il suit de là que le grief d'arbitraire dans l'établissement des faits ( art. 9 Cst. ) doit être d'emblée déclaré irrecevable.</w:t>
      </w:r>
    </w:p>
    <w:p>
      <w:r>
        <w:rPr>
          <w:b/>
        </w:rPr>
        <w:t>E. 3</w:t>
      </w:r>
    </w:p>
    <w:p>
      <w:r>
        <w:t>L'autorité cantonale a retenu que, selon le décompte de répartition du 18 août 2021, la réalisation du gage immobilier avait entraîné une perte de 2'038'952 fr. 90 pour l'intimée, de sorte que le premier juge avait arbitrairement nié la constatation de cette perte, étant précisé que seule était pertinente à cet égard la valeur effectivement obtenue lors de la vente aux enchères du gage.</w:t>
      </w:r>
    </w:p>
    <w:p>
      <w:r>
        <w:t>Elle a ensuite considéré que l'absence du certificat d'insuffisance de gage valant titre de mainlevée n'avait aucune incidence, étant donné que le titre de mainlevée invoqué dans la procédure, et reconnu valable par le premier juge, était le contrat de cautionnement.</w:t>
      </w:r>
    </w:p>
    <w:p>
      <w:r>
        <w:t>Enfin, l'autorité cantonale a considéré que, pour la seule raison que les dettes en question n'avaient pas été déléguées à l'acheteur, selon le décompte du 18 août 2021, il n'y avait aucune confusion possible entre le statut de débitrice et de créancière de l'intimée qui éteindrait la créance principale et, partant, le cautionnement.</w:t>
      </w:r>
    </w:p>
    <w:p>
      <w:r>
        <w:t>Au vu de ces éléments, elle a admis la requête de mainlevée provisoire.</w:t>
      </w:r>
    </w:p>
    <w:p>
      <w:r>
        <w:rPr>
          <w:b/>
        </w:rPr>
        <w:t>E. 4</w:t>
      </w:r>
    </w:p>
    <w:p>
      <w:r>
        <w:t>Le recourant soutient en substance que la dette principale a été éteinte lors de l'acquisition de l'immeuble "et des cédules hypothécaires" valant 5'000'000 fr. par l'intimée. A cet égard, on décèle de sa critique des plus confuse, dont on peine en grande partie à comprendre le lien avec la motivation de l'arrêt attaqué, qu'il tente de développer plusieurs arguments visant à rendre vraisemblable sa libération ( art. 82 al. 2 LP ) : l'acquisition "des cédules hypothécaires" par l'intimée aurait donné lieu à une compensation; l'intimée aurait omis de requérir son consentement lors de la reprise de dette, de sorte que le cautionnement serait éteint de par la loi (art. 178 al. 2</w:t>
      </w:r>
    </w:p>
    <w:p>
      <w:r>
        <w:t>cum 493 al. 5 CO); l'acquisition de l'immeuble aurait entraîné l'extinction de la dette principale ( art. 135 LP ), de même que le cautionnement serait éteint avec la radiation des cédules hypothécaires du registre foncier et sa dette serait éteinte en raison de son caractère accessoire (art. 114 al. 1 et 509 al. 1 CO); la dette principale serait éteinte en raison de la confusion au sens de l' art. 118 al. 1 CO ; la caution pourrait faire valoir la compensation et refuser ainsi le paiement selon les art. 121 et 502 CO . Sans présenter de motivation, il relève aussi l'absence de certificat d'insuffisance de gage valant titre de mainlevée.</w:t>
      </w:r>
    </w:p>
    <w:p>
      <w:r>
        <w:rPr>
          <w:b/>
        </w:rPr>
        <w:t>E. 5</w:t>
      </w:r>
    </w:p>
    <w:p>
      <w:r>
        <w:t>Par la critique qui précède, on comprend que le recourant entend se prévaloir d'une exception au sens de l' art. 82 al. 2 LP , soit de l'extinction de sa dette suite à celle de la dette principale de prêt pour différentes causes (confusion suite à l'acquisition par l'intimée de l'immeuble mis en gage; paiement au vu de la valeur de l'immeuble et des cédules hypothécaires équivalente à la dette principale, l'intimée n'ayant en outre pas obtenu de certificat d'insuffisance de gage).</w:t>
      </w:r>
    </w:p>
    <w:p>
      <w:r>
        <w:rPr>
          <w:b/>
        </w:rPr>
        <w:t>E. 5.1.1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ou définitive,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132 III 140 consid. 4.1.1 et les références).</w:t>
      </w:r>
    </w:p>
    <w:p>
      <w:r>
        <w:rPr>
          <w:b/>
        </w:rPr>
        <w:t>E. 5.1.2</w:t>
      </w:r>
    </w:p>
    <w:p>
      <w:r>
        <w:t>Lorsqu'une poursuite est engagée contre la caution, celle-ci peut rendre vraisemblables ses exceptions tenant à l'existence et au montant de la dette principale à titre de moyen libératoire au sens de l' art. 82 al. 2 LP . En effet, la garantie étant l'accessoire de la dette principale, la caution doit être autorisée à faire valoir ses moyens concernant tant sa dette que la dette principale (arrêt 5A_477/2011 du 10 octobre 2011 consid. 5.2.1). La caution peut notamment se prévaloir des exceptions concernant la validité de la reconnaissance de dette ou la naissance de l'engagement, la portée ou encore l'extinction de celui-ci (arrêts 5A_1036/2018 du 15 mai 2019 consid. 4.1.2; 5A_477/2011 précité consid. 5.2.1).</w:t>
      </w:r>
    </w:p>
    <w:p>
      <w:r>
        <w:t>Le poursuivi n'a pas à apporter la preuve absolue (ou stricte) de ses moyens libératoires, mais seulement à les rendre vraisemblables, en principe par titre ( art. 254 al. 1 CPC ; ATF 145 III 20 consid. 4.1.2;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 ATF 142 III 720 consid. 4.1; 132 III 140 consid. 4.1.2).</w:t>
      </w:r>
    </w:p>
    <w:p>
      <w:r>
        <w:rPr>
          <w:b/>
        </w:rPr>
        <w:t>E. 5.2.1</w:t>
      </w:r>
    </w:p>
    <w:p>
      <w:r>
        <w:t>Lorsque les parties conviennent - par contrat de fiducie - que la cédule hypothécaire est remise au créancier en propriété à titre fiduciaire aux fins de garantie,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140 III 180 consid. 5.1.1).</w:t>
      </w:r>
    </w:p>
    <w:p>
      <w:r>
        <w:rPr>
          <w:b/>
        </w:rPr>
        <w:t>E. 5.2.2.1</w:t>
      </w:r>
    </w:p>
    <w:p>
      <w:r>
        <w:t>Lorsque le créancier gagiste dont la créance garantie est exigible provoque lui-même la réalisation forcée en mettant en oeuvre son droit de gage, il a le droit de se payer sur le prix de l'immeuble ( art. 816 al. 1 CC ; cf. aussi art. 135 al. 1 3</w:t>
      </w:r>
    </w:p>
    <w:p>
      <w:r>
        <w:t>ème phr. LP). Plus précisément, le droit du créancier consiste à pouvoir requérir la vente de l'immeuble et à être désintéressé sur le produit de la réalisation. Le créancier ne peut pas s'approprier l'immeuble à défaut de paiement ( art. 816 al. 2 CC ; STEINAUER, Les droits réels, tome III, 5ème éd., 2021, n° 4278 et 4280).</w:t>
      </w:r>
    </w:p>
    <w:p>
      <w:r>
        <w:t>Le droit de gage s'éteint, que la créance qu'il garantit soit ou non complètement couverte par le produit de la réalisation. En effet, si un créancier gagiste laisse procéder à la vente de son droit de gage, celui-ci a atteint son but et doit donc en principe être radié du registre foncier ( art. 68 al. 1 let. b et 69 ORFI ). L'extinction du droit de gage ne peut pas être subordonnée au résultat favorable de la réalisation. Elle se produit au contraire même quand la créance garantie par gage n'est pas couverte ou pas entièrement. En d'autres termes, tous les droits de gage garantissant une créance exigible s'éteignent, indépendamment de leur rang et de la question de savoir si la créance a été couverte par le produit de la réalisation ( ATF 108 II 183 consid. 2; arrêt 5A_326/2018 du 28 septembre 2018 consid. 4.2.2.1 et les références, publié</w:t>
      </w:r>
    </w:p>
    <w:p>
      <w:r>
        <w:t>in SJ 2019 I p. 217, Pra 2020 p. 147 et RNRF 2021 p. 176). Le gage n'est cependant pas radié si le créancier gagiste poursuivant acquiert l'immeuble et que le titre à l'origine de la poursuite a été complètement couvert. Si le gage n'a été couvert qu'en partie, la radiation n'interviendra qu'à due concurrence ( ATF 121 III 432 consid. 2a; FOËX,</w:t>
      </w:r>
    </w:p>
    <w:p>
      <w:r>
        <w:t>in Commentaire romand, LP, 2005, n° 78 ad art. 156 LP ).</w:t>
      </w:r>
    </w:p>
    <w:p>
      <w:r>
        <w:rPr>
          <w:b/>
        </w:rPr>
        <w:t>E. 5.2.2.2</w:t>
      </w:r>
    </w:p>
    <w:p>
      <w:r>
        <w:t>Les créances qui n'ont pas été soldées malgré la réalisation du gage ne s'éteignent pas, contrairement au droit de gage. Les créanciers reçoivent un certificat d'insuffisance de gage. Ce document démontre que le droit de gage a pris fin, mais n'entraîne pas novation de la créance (GILLIÉRON, Commentaire de la loi fédérale sur la poursuite pour dettes et la faillite, 2000, n° 41 ad art. 158 LP ). Il permet au créancier gagiste d'engager des poursuites pour la créance en souffrance sur les autres biens du débiteur. Dans le délai d'un mois à compter de la notification du certificat d'insuffisance de gage, le créancier peut agir contre le débiteur en étant dispensé du commandement de payer ( art. 158 al. 2 LP ; ATF 121 III 486 consid. 3b; arrêt 7B.180/2006 du 1</w:t>
      </w:r>
    </w:p>
    <w:p>
      <w:r>
        <w:t>er décembre 2006 consid. 1.4; 7B.76/2003 du 2 juin 2003 consid. 1).</w:t>
      </w:r>
    </w:p>
    <w:p>
      <w:r>
        <w:rPr>
          <w:b/>
        </w:rPr>
        <w:t>E. 5.3</w:t>
      </w:r>
    </w:p>
    <w:p>
      <w:r>
        <w:t>Si des valeurs mises en gage se trouvent dans la masse en faillite d'une personne morale et que la faillite a été suspendue faute d'actifs ( art. 230 LP ), chaque créancier gagiste peut néanmoins demander à l'office des faillites la réalisation de son gage ( art. 230a al. 2 LP ; liquidation spéciale). Ainsi, la suspension de la procédure de faillite faute d'actifs et la clôture de la procédure qui en découle ne déploient pas leurs effets sur l'ensemble de la masse en faillite. Chaque créancier hypothécaire peut exclure l'immeuble soumis au gage de la suspension de la faillite et de l'effet de clôture, avec pour conséquence qu'au lieu de la liquidation générale en faveur de tous les créanciers, seule une liquidation spéciale de l'immeuble concerné a lieu (arrêt 5A_896/2010 du 11 mars 2011 consid. 4.2.2). La loi ne règle pas spécifiquement cette réalisation, raison pour laquelle la procédure sommaire de faillite s'applique ( art. 231 LP ; ATF 140 III 462 consid. 5.1; arrêt 5A_606/2019 du 3 décembre 2019 consid. 3.1), sauf si les particularités de la liquidation spéciale exigent des dérogations. En particulier, le fait que l'état de collocation se limite à l'état des charges et que les créanciers non garantis par gage n'y participent pas ne change rien au fait que la procédure ("liquidation subséquente") est un instrument du droit de la faillite et qu'elle doit se dérouler selon les principes du droit de la faillite (arrêt 5A_796/2016 du 4 septembre 2017 consid. 3.3.3, publié</w:t>
      </w:r>
    </w:p>
    <w:p>
      <w:r>
        <w:t>in BlSchK 2018 p. 57).</w:t>
      </w:r>
    </w:p>
    <w:p>
      <w:r>
        <w:t>Dans cette procédure de liquidation, les objets gagés sont en principe réalisés aux enchères. Le principe de l'offre suffisante (art. 126 s. LP) ne s'applique pas. Aucun acte de défaut de biens n'est délivré. Un certificat d'insuffisance de gage ( art. 158 LP ) est cependant remis au créancier gagiste qui a demandé la réalisation du gage et qui n'a pas été désintéressé. Pour le montant de son découvert de gage, le créancier gagiste peut engager une poursuite par voie de saisie ( art. 230 al. 3 LP ; LUSTENBERGER/SCHENKER,</w:t>
      </w:r>
    </w:p>
    <w:p>
      <w:r>
        <w:t>in Basler Kommentar, SchKG, 3</w:t>
      </w:r>
    </w:p>
    <w:p>
      <w:r>
        <w:t>ème éd., 2021, n° 9c ad art. 230a LP ; VOUILLOZ,</w:t>
      </w:r>
    </w:p>
    <w:p>
      <w:r>
        <w:t>in Commentaire romand, LP, 2005, n° 31 ad art. 230a LP ; cf. aussi arrêt 5A_789/2008 du 24 février 2009 consid. 2.4.3).</w:t>
      </w:r>
    </w:p>
    <w:p>
      <w:r>
        <w:rPr>
          <w:b/>
        </w:rPr>
        <w:t>E. 5.4</w:t>
      </w:r>
    </w:p>
    <w:p>
      <w:r>
        <w:t>En l'espèce, les développements hétéroclites du recourant sur l'extinction de la dette - soit la confusion des qualités de créancière et débitrice, la reprise de dette sans son accord, le paiement de la dette au vu de la valeur estimée de l'immeuble - au motif que l'intimée a acquis aux enchères l'immeuble grevé, selon lui "avec les cédules hypothécaires", sont erronés. Ils révèlent une mauvaise compréhension générale du système des gages immobiliers tel que rappelé ci-dessus et les développements du recourant ne permettent nullement de rendre vraisemblable un moyen libératoire.</w:t>
      </w:r>
    </w:p>
    <w:p>
      <w:r>
        <w:t>En effet, dans la procédure de liquidation spéciale, les créances cédulaires mises en poursuite étaient exigibles et ont été, toutefois seulement en partie, payées par compensation (improprement dite: cf. arrêt 7B.148/2000 du 22 août 2000 consid. 1) avec le prix de vente de l'immeuble acquis par l'intimée, de sorte qu'aucune délégation de ces dettes n'a eu lieu. Il ressort du décompte dressé par l'office au terme de la procédure de liquidation spéciale que l'intimée a subi une perte de 2'038'952 fr. 90. La valeur marchande de l'immeuble n'a aucune portée en matière d'exécution forcée pour évaluer la perte subie, l'intimée étant désintéressée sur le prix de l'immeuble obtenu au terme de l'exécution forcée, et non par l'acquisition de l'immeuble. Par ailleurs, outre que l'argumentation du recourant est contradictoire en tant qu'il soutient que les titres ont été radiés mais que l'intimée aurait acquis ceux-ci, la radiation des gages a dû au moins intervenir à concurrence du montant de l'adjudication. Contrairement à ce que semble prétendre le recourant, l'extinction du droit de gage suite à la réalisation forcée n'entraîne pas celle de la créance garantie. En conséquence, la créance de base de l'intimée contre la faillie issue du contrat de prêt, coexistant avec la créance cédulaire, existait encore. Par ailleurs, la créance litigieuse mise en poursuite dans la présente procédure est celle découlant du cautionnement solidaire garantissant la créance de base précitée, et non la créance cédulaire. La qualité de reconnaissance de dette du contrat de cautionnement, valant titre de mainlevée au sens de l' art. 82 LP , n'est pas contestée pour cette créance. C'est à raison que l'autorité cantonale a considéré que, au vu de la portée de ce document, l'absence de certificat d'insuffisance de gage donnant certains droits au créancier gagiste pour recouvrer la partie non couverte de sa créance cédulaire ne permettait nullement au recourant, débiteur du contrat de cautionnement, de prétendre que la créance de base qu'il garantit était vraisemblablement éteinte.</w:t>
      </w:r>
    </w:p>
    <w:p>
      <w:r>
        <w:t>Il suit de là que les griefs du recourant en lien avec l' art. 82 al. 2 LP doivent être rejetés, dans la mesure de leur recevabilité.</w:t>
      </w:r>
    </w:p>
    <w:p>
      <w:r>
        <w:rPr>
          <w:b/>
        </w:rPr>
        <w:t>E. 6</w:t>
      </w:r>
    </w:p>
    <w:p>
      <w:r>
        <w:t>En définitive, le recours est rejeté, dans la mesure de sa recevabilité. Celui-ci étant dénué de chances de succès, la requête d'assistance judiciaire est rejetée ( art. 64 al. 1 LTF ). Les frais judiciaires, arrêtés à 2'000 fr., sont mis à la charge du recourant, qui succombe ( art. 66 al. 1 LTF ). Aucuns dépens ne sont dus à l'intimée qui n'a pas été invitée à se déterminer et ne s'est pas opposée à l'octroi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