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5A_295/2022 vom 2. Juni 2022</w:t>
      </w:r>
    </w:p>
    <w:p>
      <w:r>
        <w:t>Bundesgericht, 2022-06-02, IT</w:t>
      </w:r>
    </w:p>
    <w:p>
      <w:r>
        <w:rPr>
          <w:b/>
        </w:rPr>
        <w:t xml:space="preserve">Quelle: </w:t>
      </w:r>
      <w:r>
        <w:t>https://mcp.opencaselaw.ch/entscheid/bger_5A_295_2022</w:t>
      </w:r>
    </w:p>
    <w:p>
      <w:r>
        <w:t>FR: TF 5A_295/2022 du 2 juin 2022</w:t>
      </w:r>
    </w:p>
    <w:p>
      <w:r>
        <w:t>IT: TF 5A_295/2022 del 2 giugno 2022</w:t>
      </w:r>
    </w:p>
    <w:p>
      <w:pPr>
        <w:pStyle w:val="Heading2"/>
      </w:pPr>
      <w:r>
        <w:t>Erwägungen</w:t>
      </w:r>
    </w:p>
    <w:p>
      <w:r>
        <w:rPr>
          <w:b/>
        </w:rPr>
        <w:t>E. 1.1</w:t>
      </w:r>
    </w:p>
    <w:p>
      <w:r>
        <w:t>Il ricorso è stato interposto tempestivamente (art. 100 cpv. 2 lett. a e 46 cpv. 1 lett. a LTF)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abbia tratto dai fatti accertati delle conclusioni insostenibili. La mera divergenza con il punto di vista del ricorrente non attesta arbitrio ( DTF 143 IV 500 consid. 1.1; 140 III 264 consid. 2.3 con rinvii). Il ricorrente che lamenta una violazione del divieto dell'arbitrio non può quindi limitarsi a criticare la decisione impugnata come in una procedura d'appello, dove l'autorità di ricorso gode di cognizione libera, opponendo semplicemente la propria opinione a quella dell'autorità cantonale ( DTF 142 III 364 consid. 2.4; 134 II 349 consid. 3).</w:t>
      </w:r>
    </w:p>
    <w:p>
      <w:r>
        <w:rPr>
          <w:b/>
        </w:rPr>
        <w:t>E. 2.1</w:t>
      </w:r>
    </w:p>
    <w:p>
      <w:r>
        <w:t>Per quanto concerne la contestazione delle condizioni d'asta, l'autorità di vigilanza ha osservato che il ricorso era manifestamente tardivo, dato che esse erano già state depositate, unitamente all'elenco oneri, in data 19 novembre 2021. La Corte cantonale ha poi aggiunto che tale contestazione era comunque infondata, dato che le condizioni d'incanto devono indicare, quale prezzo minimo d'aggiudicazione (piede d'asta), l'importo totale dei crediti garantiti da pegno iscritti nell'elenco oneri poziori a quelli del creditore procedente e non il valore di stima dei fondi.</w:t>
      </w:r>
    </w:p>
    <w:p>
      <w:r>
        <w:rPr>
          <w:b/>
        </w:rPr>
        <w:t>E. 2.2</w:t>
      </w:r>
    </w:p>
    <w:p>
      <w:r>
        <w:t>Il ricorrente ritiene che nel confermare un prezzo minimo d'aggiudicazione sproporzionatamente basso, al di sotto del valore di stima, l'autorità di vigilanza avrebbe violato gli art. 125 cpv. 1 seconda frase e 134 cpv. 1 LEF, gli art. 5 cpv. 2 e 3, 9, 26, 29, 30 e 36 Cost. e l' art. 8 Cost./TI . Egli considera poi "irrilevante" l'argomento secondo cui, per quanto riguarda le condizioni d'asta, il suo ricorso all'autorità di vigilanza era tardivo, "poiché non sono state le condizioni d'incanto, in sé, ad aver determinato le violazioni summenzionate [...], bensì proprio il modo in cui è stata condotta la vendita ai pubblici incanti e la relativa aggiudicazione (impugnata per tempo) ".</w:t>
      </w:r>
    </w:p>
    <w:p>
      <w:r>
        <w:rPr>
          <w:b/>
        </w:rPr>
        <w:t>E. 2.3</w:t>
      </w:r>
    </w:p>
    <w:p>
      <w:r>
        <w:t>Quando, come in concreto, la sentenza impugnata (o parte di essa) si fonda su due motivazioni indipendenti (alternative o sussidiarie), la parte ricorrente deve confrontarsi con entrambe in modo conforme agli art. 42 cpv. 2 e 106 cpv. 2 LTF, sotto pena di inammissibilità del ricorso, e l'impugnativa può unicamente essere accolta se le critiche volte contro tutte e due le motivazioni si rivelano fondate ( DTF 142 III 364 consid. 2.4 con rinvii).</w:t>
      </w:r>
    </w:p>
    <w:p>
      <w:r>
        <w:t>Nel caso concreto, la critica rivolta contro l'argomento di tardività della contestazione delle condizioni d'asta risulta temeraria. Come rettamente stabilito dall'autorità di vigilanza, il prezzo minimo d'aggiudicazione andava censurato impugnando l'atto con cui l'UE ha stabilito tale prezzo, ossia le condizioni d'incanto. Il ricorrente non può "prorogare" il termine dell' art. 17 cpv. 2 LEF sulla scorta del fatto che le autorità esecutive si sono fondate, nelle operazioni seguenti, su tali condizioni d'incanto (cresciute in giudicato).</w:t>
      </w:r>
    </w:p>
    <w:p>
      <w:r>
        <w:t>Dato che l'argomento principale (di tardività della contestazione) sviluppato dall'autorità di vigilanza resiste alla critica ricorsuale, non occorre esaminare anche le censure volte contro l'argomento sussidiario (di infondatezza della contestazione) contenuto nel contestato giudizio.</w:t>
      </w:r>
    </w:p>
    <w:p>
      <w:r>
        <w:rPr>
          <w:b/>
        </w:rPr>
        <w:t>E. 3.1</w:t>
      </w:r>
    </w:p>
    <w:p>
      <w:r>
        <w:t>Per quanto riguarda l'aggiudicazione dei fondi a C.________ e D.________, il Tribunale d'appello ha respinto la critica secondo cui quest'ultima non avrebbe effettuato alcuna offerta: l'autorità di vigilanza ha infatti accertato che, a prescindere dall'intestazione diversa delle pagine 1 ("verbale d'incanto") e 2 ("verbale d'aggiudicazione"), il verbale d'incanto è in realtà uno solo e che la sola menzione di C.________ quale offerente alla pagina 1 è una svista manifesta, l'UE avendo chiaramente indicato, alla pagina 2, che "il miglior offerente e quindi aggiudicatario risulta essere" C.________ per 2/3 e D.________ per 1/3. L'autorità di vigilanza ha poi aggiunto che D.________ era comunque presente all'asta, per cui non si può ritenere che C.________ avrebbe inammissibilmente fatto un'offerta per conto di una persona non designata (v. art. 58 cpv. 3 RFF ) né sussiste il rischio che ella possa impugnare l'asta contestando di essere stata rappresentata da lui. Per la Corte cantonale, insomma, l'aggiudicazione è valida.</w:t>
      </w:r>
    </w:p>
    <w:p>
      <w:r>
        <w:rPr>
          <w:b/>
        </w:rPr>
        <w:t>E. 3.2</w:t>
      </w:r>
    </w:p>
    <w:p>
      <w:r>
        <w:t>Il ricorrente lamenta un accertamento arbitrario dei fatti: a suo dire, sarebbe manifesto che "i verbali siano incompleti e contraddittori" e che da tali verbali (o dagli altri atti) non risulti che D.________ abbia fatto un'offerta e tantomeno che l'offerta di C.________ sia stata fatta anche in rappresentanza di lei. L'insorgente ritiene che la decisione impugnata violerebbe così il diritto federale (v. art. 125 cpv. 2 seconda frase e 134 cpv. 1 LEF), sarebbe contraria al principio secondo cui "solo chi concorre realmente, facendo offerte, può vedersi aggiudicato il bene" e favorirebbe "la proliferazione di accordi sottobanco destinati a tenere basso il prezzo di aggiudicazione".</w:t>
      </w:r>
    </w:p>
    <w:p>
      <w:r>
        <w:rPr>
          <w:b/>
        </w:rPr>
        <w:t>E. 3.3</w:t>
      </w:r>
    </w:p>
    <w:p>
      <w:r>
        <w:t>Attraverso la sua argomentazione, il ricorrente si limita tuttavia a opporre la propria versione dei fatti relativi all'incanto a quella della Corte cantonale e non si confronta a sufficienza con la suesposta motivazione dell'autorità di vigilanza. L'argomentazione ricorsuale, in altre parole, non è idonea a dimostrare una violazione dell' art. 9 Cost. (v. supra consid. 1.3). La censura di arbitrio nell'accertamento dei fatti (e di conseguente violazione del diritto federale) è insufficientemente motivata e quindi inammissibile.</w:t>
      </w:r>
    </w:p>
    <w:p>
      <w:r>
        <w:rPr>
          <w:b/>
        </w:rPr>
        <w:t>E. 4</w:t>
      </w:r>
    </w:p>
    <w:p>
      <w:r>
        <w:t>Da quanto precede discende che il ricorso va respinto nella misura in cui è ammissibile. Con l'evasione del gravame, la richiesta di conferire effetto sospensivo allo stesso diventa priva d'oggetto.</w:t>
      </w:r>
    </w:p>
    <w:p>
      <w:r>
        <w:t>Le spese giudiziarie seguono la soccombenza ( art. 66 cpv. 1 LTF ). Non si giustifica assegnare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