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5A_294/2026 vom 17. April 2026</w:t>
      </w:r>
    </w:p>
    <w:p>
      <w:r>
        <w:t>Bundesgericht, 2026-04-17, DE</w:t>
      </w:r>
    </w:p>
    <w:p>
      <w:r>
        <w:rPr>
          <w:b/>
        </w:rPr>
        <w:t xml:space="preserve">Quelle: </w:t>
      </w:r>
      <w:r>
        <w:t>https://mcp.opencaselaw.ch/entscheid/bger_5A_294_2026</w:t>
      </w:r>
    </w:p>
    <w:p>
      <w:r>
        <w:t>FR: TF 5A_294/2026 du 17 avril 2026</w:t>
      </w:r>
    </w:p>
    <w:p>
      <w:r>
        <w:t>IT: TF 5A_294/2026 del 17 aprile 2026</w:t>
      </w:r>
    </w:p>
    <w:p>
      <w:pPr>
        <w:pStyle w:val="Heading2"/>
      </w:pPr>
      <w:r>
        <w:t>Erwägungen</w:t>
      </w:r>
    </w:p>
    <w:p>
      <w:r>
        <w:rPr>
          <w:b/>
        </w:rPr>
        <w:t>E. 1</w:t>
      </w:r>
    </w:p>
    <w:p>
      <w:r>
        <w:t>Die Beschwerdeführerin gelangt im Zusammenhang mit dem über sie im Jahre 2024 eröffneten Konkurs immer wieder bis vor Bundesgericht.</w:t>
      </w:r>
    </w:p>
    <w:p>
      <w:r>
        <w:t>Vorliegend geht es um den Freihandverkauf eines Fahrzeugs vom 7. April 2025 durch das Konkursamt des Kantons Thurgau. Am 12. Januar 2026 erhob die Beschwerdeführerin Beschwerde beim Obergericht des Kantons Thurgau. Mit Zirkularentscheid vom 6. März 2026 wies das Obergericht die Beschwerde ab, soweit es darauf eintrat. Es auferlegte der Beschwerdeführerin und B.________ die Verfahrensgebühr von Fr. 800.-- unter solidarischer Haftung und es kündete an, weitere Eingaben in dieser Angelegenheit ohne neue rechtserhebliche Gesichtspunkte ohne förmliche Behandlung abzulegen.</w:t>
      </w:r>
    </w:p>
    <w:p>
      <w:r>
        <w:t>Gegen diesen Entscheid hat die Beschwerdeführerin am 30. März 2026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Die unrichtige Feststellung des Sachverhalts kann nur unter den Voraussetzungen von Art. 97 Abs. 1 BGG gerügt werden (vgl. BGE 140 III 16 E. 1.3.1; 140 III 264 E. 2.3).</w:t>
      </w:r>
    </w:p>
    <w:p>
      <w:r>
        <w:rPr>
          <w:b/>
        </w:rPr>
        <w:t>E. 3</w:t>
      </w:r>
    </w:p>
    <w:p>
      <w:r>
        <w:t>Das Obergericht hat sich eingehend zum Freihandverkauf und dessen Vorbereitung, zum Einbezug der Beschwerdeführerin in das Verfahren und auch zum Inventar geäussert. Die Beschwerdeführerin setzt sich mit diesen Erwägungen nicht in genügender Weise auseinander, sondern schildert bloss ihre Sicht auf die Rechtslage und den Sachverhalt. Dies betrifft insbesondere ihre immer wieder vorgetragene Rüge, dass ihr Recht auf Akteneinsicht verletzt worden sei. Sie legt in der Folge auch nicht hinreichend dar, dass das Obergericht ihre Beschwerde zu Unrecht als mutwillig erachtet hätte.</w:t>
      </w:r>
    </w:p>
    <w:p>
      <w:r>
        <w:t>Die Beschwerde enthält offensichtlich keine hinreichende Begründung. Ausserdem ist sie rechtsmissbräuchlich und querulatorisch. Der Abteilungspräsident tritt auf sie im vereinfachten Verfahren nicht ein ( Art. 108 Abs. 1 lit. b und c BGG ).</w:t>
      </w:r>
    </w:p>
    <w:p>
      <w:r>
        <w:rPr>
          <w:b/>
        </w:rPr>
        <w:t>E. 4</w:t>
      </w:r>
    </w:p>
    <w:p>
      <w:r>
        <w:t>Bei diesem Ausgang des Verfahrens tragen die Beschwerdeführerin und ihre Geschäftsführerin, B.________, die Gerichtskosten unter solidarischer Haftung ( Art. 66 Abs. 1, Abs. 3 und Abs. 5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