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5A_291/2011 vom 7. Oktober 2011</w:t>
      </w:r>
    </w:p>
    <w:p>
      <w:r>
        <w:t>Bundesgericht, 2011-10-07, DE</w:t>
      </w:r>
    </w:p>
    <w:p>
      <w:r>
        <w:rPr>
          <w:b/>
        </w:rPr>
        <w:t xml:space="preserve">Quelle: </w:t>
      </w:r>
      <w:r>
        <w:t>https://mcp.opencaselaw.ch/entscheid/bger_5A_291_2011</w:t>
      </w:r>
    </w:p>
    <w:p>
      <w:r>
        <w:t>FR: TF 5A_291/2011 du 7 octobre 2011</w:t>
      </w:r>
    </w:p>
    <w:p>
      <w:r>
        <w:t>IT: TF 5A_291/2011 del 7 ottobre 2011</w:t>
      </w:r>
    </w:p>
    <w:p>
      <w:pPr>
        <w:pStyle w:val="Heading2"/>
      </w:pPr>
      <w:r>
        <w:t>Erwägungen</w:t>
      </w:r>
    </w:p>
    <w:p>
      <w:r>
        <w:rPr>
          <w:b/>
        </w:rPr>
        <w:t>E. 1.1</w:t>
      </w:r>
    </w:p>
    <w:p>
      <w:r>
        <w:t>Der angefochtene Beschluss betrifft eine der Beschwerde in Zivilsachen unterliegende Materie ( Art. 72 Abs. 1 BGG ), wobei der erforderliche Streitwert nach den unbestrittenen Angaben der Vorinstanz überschritten ist ( Art. 74 Abs. 1 lit. b BGG ). Die Beschwerde ist rechtzeitig eingereicht worden ( Art. 100 Abs. 1 BGG ). Die Nichtzulassung eines Intervenienten zum Prozess beendet das Verfahren für ihn. Bei Nichtzulassung der Hauptintervention, welche ein neues Verfahren eröffnen würde, gilt das entsprechende Urteil demnach als Endentscheid ( Art. 90 BGG ), bei Nichtzulassung der Nebenintervention als Teilentscheid ( Art. 91 BGG ; BGE 131 I 57 E. 1.1 S. 60; CORBOZ, in: Commentaire de la LTF, 2009, N. 24 zu Art. 91 BGG ).</w:t>
      </w:r>
    </w:p>
    <w:p>
      <w:r>
        <w:rPr>
          <w:b/>
        </w:rPr>
        <w:t>E. 1.2</w:t>
      </w:r>
    </w:p>
    <w:p>
      <w:r>
        <w:t>Mit Beschwerde in Zivilsachen können Rechtsverletzungen im Sinne von Art. 95 und Art. 96 BGG gerügt werden.</w:t>
      </w:r>
    </w:p>
    <w:p>
      <w:r>
        <w:t>Die Beschwerde muss einen Antrag enthalten und ist zu begründen ( Art. 42 Abs. 1 BGG ). In der Begründung ist in gedrängter Form darzulegen, inwiefern der angefochtene Akt Recht verletzt ( Art. 42 Abs. 2 BGG ). Strengere Anforderungen gelten bei Verfassungsrügen, welche in der Beschwerde präzise vorgebracht und begründet werden müssen ( Art. 106 Abs. 2 BGG ; BGE 135 III 397 E. 1.4 S. 400 f.; 133 II 249 E. 1.4.2 S. 254 mit Hinweisen). Wird etwa eine Verletzung des Willkürverbots ( Art. 9 BV ) geltend gemacht, muss klar und detailliert anhand der Erwägungen des angefochtenen Urteils aufgezeigt werden, in welcher Hinsicht der Entscheid an einem qualifizierten und offensichtlichen Mangel leidet ( BGE 135 III 513 E. 4.3 S. 522; 134 II 244 E. 2.2 S. 246; je mit Hinweis).</w:t>
      </w:r>
    </w:p>
    <w:p>
      <w:r>
        <w:rPr>
          <w:b/>
        </w:rPr>
        <w:t>E. 2</w:t>
      </w:r>
    </w:p>
    <w:p>
      <w:r>
        <w:t>Es ist unklar, was der Beschwerdeführer genau verlangt. Ausdrücklich beantragt er festzustellen, dass der Beschwerdegegner 2 über keine rechtskräftige Bewilligung zum Erwerb des Grundstücks B verfügte und der entsprechende Steigerungszuschlag aufzuheben sei. Gegenstand des Verfahrens vor Kantonsgericht bildete jedoch nicht die Erwerbsbewilligung des Beschwerdegegners 2, sondern einzig, ob der Beschwerdeführer als Hauptintervenient in das zwischen den beiden Beschwerdegegnern hängige Verfahren vor Bezirksgericht March eingreifen kann. Es geht mit anderen Worten derzeit bloss um eine prozessuale Vorfrage und nicht um die Prüfung der Begründetheit des materiellen Standpunkts des Beschwerdeführers. Sein Begehren ist folglich so zu interpretieren, dass es auf Zulassung der Hauptintervention abzielt (vgl. BGE 136 V 131 E. 1.2 S. 135 f.). Vor erster Instanz hatte der Beschwerdeführer noch den Eventualstandpunkt eingenommen, er sei als Nebenintervenient zuzulassen. Einen entsprechenden Antrag stellte er nach ausdrücklicher und unangefochtener Feststellung im Rekursverfahren jedoch nicht mehr. Ein Zurückkommen auf die Nebenintervention wäre vor Bundesgericht nicht mehr zulässig.</w:t>
      </w:r>
    </w:p>
    <w:p>
      <w:r>
        <w:rPr>
          <w:b/>
        </w:rPr>
        <w:t>E. 3</w:t>
      </w:r>
    </w:p>
    <w:p>
      <w:r>
        <w:t>Der Beschwerdeführer beantragt zudem die Sistierung des bundesgerichtlichen Verfahrens bis zum Abschluss des Strafverfahrens gegen den Betreibungsbeamten sowie des Verfahrens, welches mit Urteil 5A_9/2011 vom 28. März 2011 an das Kantonsgericht zurückgewiesen wurde. Inwiefern der Ausgang dieser beiden Verfahren Auswirkungen auf die vorliegend zu behandelnde prozessuale Frage haben könnte, ist weder dargetan noch ersichtlich. Das Gesuch ist abzuweisen und die Beschwerde ohne Rücksicht auf den Ausgang dieser Verfahren zu behandeln.</w:t>
      </w:r>
    </w:p>
    <w:p>
      <w:r>
        <w:rPr>
          <w:b/>
        </w:rPr>
        <w:t>E. 4</w:t>
      </w:r>
    </w:p>
    <w:p>
      <w:r>
        <w:t>Das Verfahren vor dem Einzelrichter des Bezirks March richtet sich nach bisherigem kantonalem Prozessrecht ( Art. 404 Abs. 1 ZPO ). Die Frage, ob die Intervention zulässig ist, beschlägt kantonales Prozessrecht. Ob dieses richtig angewendet wurde, kann das Bundesgericht nicht überprüfen ( Art. 95 BGG ). Es kann einzig untersuchen, ob bei seiner Anwendung Bundesrecht, insbesondere das Willkürverbot ( Art. 9 BV ), verletzt worden ist. Der Beschwerdeführer genügt jedoch den Anforderungen an eine Willkürrüge nicht (oben E. 1.2). Er beschränkt sich darauf, die Rechtmässigkeit des Zuschlags an den Beschwerdegegner 2 in Frage zu stellen, behandelt also materielle Fragen seiner Interventionsklage. Er geht jedoch mit keinem Wort auf die prozessualen Erwägungen der Vorinstanzen ein, wonach gar keine Konstellation einer Hauptintervention vorliege, da sich seine Klage einzig gegen den Beschwerdegegner 2 richte. Gemäss Beurteilung des Kantonsgerichts wendet sich der Beschwerdeführer erstmals im Rekursverfahren auch gegen den Erwerb des Beschwerdegegners 1. Die entsprechenden Vorbringen seien neu und deshalb unzulässig. Auch auf diesen Punkt geht der Beschwerdeführer nicht ein. Auf seine Beschwerde kann deshalb mangels genügender Begründung nicht eingetreten werden.</w:t>
      </w:r>
    </w:p>
    <w:p>
      <w:r>
        <w:rPr>
          <w:b/>
        </w:rPr>
        <w:t>E. 5</w:t>
      </w:r>
    </w:p>
    <w:p>
      <w:r>
        <w:t>Bei diesem Ausgang des Verfahrens wird der Beschwerdeführer kostenpflichtig ( Art. 66 Abs. 1 BGG ). Dem Beschwerdegegner 1 sind keine zu ersetzenden Aufwendungen entstanden; hingegen ist der Beschwerdegegner 2 für seine Stellungnahme zum Gesuch um aufschiebende Wirkung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