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28/2023 vom 21. Juli 2023</w:t>
      </w:r>
    </w:p>
    <w:p>
      <w:r>
        <w:t>Bundesgericht, 2023-07-21, FR</w:t>
      </w:r>
    </w:p>
    <w:p>
      <w:r>
        <w:rPr>
          <w:b/>
        </w:rPr>
        <w:t xml:space="preserve">Quelle: </w:t>
      </w:r>
      <w:r>
        <w:t>https://mcp.opencaselaw.ch/entscheid/bger_5A_28_2023</w:t>
      </w:r>
    </w:p>
    <w:p>
      <w:r>
        <w:t>FR: TF 5A 28/2023 du 21 juillet 2023</w:t>
      </w:r>
    </w:p>
    <w:p>
      <w:r>
        <w:t>IT: TF 5A 28/2023 del 21 luglio 2023</w:t>
      </w:r>
    </w:p>
    <w:p>
      <w:pPr>
        <w:pStyle w:val="Heading2"/>
      </w:pPr>
      <w:r>
        <w:t>Regeste</w:t>
      </w:r>
    </w:p>
    <w:p>
      <w:r>
        <w:t>modification de mesures protectrices de l'union conjugale, contribution à l'entretien de l'épouse | Droit de la famille</w:t>
      </w:r>
    </w:p>
    <w:p>
      <w:pPr>
        <w:pStyle w:val="Heading2"/>
      </w:pPr>
      <w:r>
        <w:t>Erwägungen</w:t>
      </w:r>
    </w:p>
    <w:p>
      <w:r>
        <w:rPr>
          <w:b/>
        </w:rPr>
        <w:t>E. 1</w:t>
      </w:r>
    </w:p>
    <w:p>
      <w:r>
        <w:t>Les conditions de recevabilité du recours en matière civile sont ici réalisées (art. 72 al. 1; art. 74 al. 1 let. b avec l'art. 51 al. 1 let. a et al. 4; art. 75 al. 1 et 2; art. 76 al. 1 let. a et b; art. 90; art. 100 al. 1 et art. 46 al. 2 let. a LTF ).</w:t>
      </w:r>
    </w:p>
    <w:p>
      <w:r>
        <w:rPr>
          <w:b/>
        </w:rPr>
        <w:t>E. 2</w:t>
      </w:r>
    </w:p>
    <w:p>
      <w:r>
        <w:t>Lorsque, comme en l'espèce, la décision attaquée porte sur des mesures provisionnelles au sens de l' art. 98 LTF ( ATF 133 III 393 consid. 5; arrêt 5A_501/2022 du 21 juin 2023 consid. 2.1),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3</w:t>
      </w:r>
    </w:p>
    <w:p>
      <w:r>
        <w:t>Le recourant soutient d'abord que la décision cantonale serait arbitraire en ce qu'elle ne serait pas entrée en matière sur la suppression de la contribution d'entretien destinée à son épouse, alors que sa situation financière s'était pourtant notablement modifiée.</w:t>
      </w:r>
    </w:p>
    <w:p>
      <w:r>
        <w:rPr>
          <w:b/>
        </w:rPr>
        <w:t>E. 3.1</w:t>
      </w:r>
    </w:p>
    <w:p>
      <w:r>
        <w:t>La décision querellée se fonde sur l' art. 179 CC et rappelle que les possibilités de modifier des mesures provisionnelles prévues dans une convention ratifiée sont restreintes ( ATF 142 III 518 consid. 2.6.1). Elle retient que le recourant travaillait initialement en tant que directeur financier non exécutif pour le compte de la société D.________ SA pour un revenu mensuel net de 9'208 fr., treizième salaire inclus. Il travaillait certes parallèlement pour la société E.________ SA, dont il était administrateur avec pouvoir de signature individuelle, mais ne percevait aucun revenu pour cette activité, dite société étant alors gérée par un employé. Se référant aux déclarations très claires tenues en audience par le recourant - singulièrement lors de la conclusion de la convention le 30 mars 2021, puis le 4 janvier 2022 -, le juge cantonal a retenu qu'il avait toujours été question d'une incertitude quant au succès de l'activité de D.________ SA et de la possibilité, en cas de déconvenue, de reprendre une activité salariée, moins bien rémunérée, auprès de E.________ SA. Le recourant était ainsi conscient de cette possible perte de salaire lors de la conclusion de l'accord du 30 mars 2021 et la contribution d'entretien en faveur de son épouse avait été définie en tenant compte de cette éventualité.</w:t>
      </w:r>
    </w:p>
    <w:p>
      <w:r>
        <w:rPr>
          <w:b/>
        </w:rPr>
        <w:t>E. 3.2</w:t>
      </w:r>
    </w:p>
    <w:p>
      <w:r>
        <w:t>L'argumentation que développe le recourant ne cerne aucunement la motivation cantonale. L'essentiel de ses critiques consiste en effet à reprocher au magistrat cantonal d'avoir écarté les pièces démontrant sa baisse salariale - laquelle n'est nullement contestée -, et à affirmer que la décision entreprise favoriserait les intérêts financiers de son épouse au détriment de ceux de sa fille mineure dès lors que le versement de la contribution litigieuse porterait atteinte à son minimum vital, cette seconde affirmation nécessitant cependant de combattre préalablement le refus de l'autorité cantonale d'entrer en matière sur la modification sollicitée. S'en suivent des considérations générales sur les coût et durée des procédures, l'engorgement des tribunaux et la lenteur de la procédure de première instance, dépourvues ici de pertinence. Faute de satisfaire aux exigences de motivation sus-décrites, les critiques du recourant sont ainsi irrecevables.</w:t>
      </w:r>
    </w:p>
    <w:p>
      <w:r>
        <w:rPr>
          <w:b/>
        </w:rPr>
        <w:t>E. 4</w:t>
      </w:r>
    </w:p>
    <w:p>
      <w:r>
        <w:t>Le recourant invoque également la violation de son droit d'être entendu ( art. 29 al. 2 Cst. ), reprochant au juge cantonal de ne pas s'être prononcé sur la modification sollicitée. Ce grief se heurte toutefois au considérant précédant dès lors qu'il repose sur la prémisse que les conditions permettant un réexamen des contributions fixées conventionnellement seraient réunies, ce que la cour cantonale a écarté sans que le recourant démontre l'arbitraire de son raisonnement (consid. 3 supra ). La même conclusion peut être opposée au recourant s'agissant de son droit à des conditions minimales d'existence, garanti par l' art. 12 Cst.</w:t>
      </w:r>
    </w:p>
    <w:p>
      <w:r>
        <w:rPr>
          <w:b/>
        </w:rPr>
        <w:t>E. 5</w:t>
      </w:r>
    </w:p>
    <w:p>
      <w:r>
        <w:t>Le recours est rejeté dans la mesure où il est recevable. Les frais judiciaires sont à la charge du recourant qui succombe ( art. 66 al. 1 LTF ). Aucune indemnité de dépens n'est octroyée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