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5A_28/2019 vom 11. Januar 2019</w:t>
      </w:r>
    </w:p>
    <w:p>
      <w:r>
        <w:t>Bundesgericht, 2019-01-11, DE</w:t>
      </w:r>
    </w:p>
    <w:p>
      <w:r>
        <w:rPr>
          <w:b/>
        </w:rPr>
        <w:t xml:space="preserve">Quelle: </w:t>
      </w:r>
      <w:r>
        <w:t>https://mcp.opencaselaw.ch/entscheid/bger_5A_28_2019</w:t>
      </w:r>
    </w:p>
    <w:p>
      <w:r>
        <w:t>FR: TF 5A_28/2019 du 11 janvier 2019</w:t>
      </w:r>
    </w:p>
    <w:p>
      <w:r>
        <w:t>IT: TF 5A_28/2019 del 11 gennaio 2019</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Das Verwaltungsgericht hat wie schon die KESB festgehalten, dass die Familie sich sehr gut um B.________ kümmere und die fürsorgerischen Belange vollständig abgedeckt seien. Indes befänden sich die Eltern in engen finanziellen Verhältnissen und seien sie sozialhilfeabhängig, während B.________ über eine IV-Rente verfüge und ein Vermögen von rund Fr. 50'000.-- habe. Es bestehe daher ein gewisser Interessenkonflikt im Zusammenhang mit der Verwaltung des Einkommens und Vermögens der Tochter; der Beschwerdeführer habe nicht die nötige persönliche Distanz, um die Interessen der Tochter in ihren finanziellen Angelegenheiten zu vertreten, und es sei ihm die Eignung zur Übernahme der Vermögensverwaltungsbeistandschaft abzusprechen.</w:t>
      </w:r>
    </w:p>
    <w:p>
      <w:r>
        <w:rPr>
          <w:b/>
        </w:rPr>
        <w:t>E. 3</w:t>
      </w:r>
    </w:p>
    <w:p>
      <w:r>
        <w:t>Der Beschwerdeführer hält in seiner Beschwerde fest, dass die Beistandschaft (gemeint: der eingesetzte Beistand) überhaupt nicht mit der Familie kooperiere. Diese sei in der Lage, die Aufgabe bestens zu erledigen und die rechtliche Verantwortung zu übernehmen, zumal die Schwiegertochter sogar Jura studiere. Die Familie könne B.________ in allen Bereichen unterstützen und insgesamt gehe es dieser viel besser.</w:t>
      </w:r>
    </w:p>
    <w:p>
      <w:r>
        <w:rPr>
          <w:b/>
        </w:rPr>
        <w:t>E. 4</w:t>
      </w:r>
    </w:p>
    <w:p>
      <w:r>
        <w:t>Der Beschwerdeführer spricht die persönliche Fürsorge betreffend seine Tochter an. Dass die Familie in dieser Hinsicht gut zu B.________ schaut, haben beide kantonalen Instanzen festgehalten, weshalb die umfassende Beistandschaft denn auch auf eine Vertretungsbeistandschaft mit Vermögensverwaltung reduziert werden konnte. Die Erforderlichkeit und Verhältnismässigkeit dieser reduzierten Schutzmassnahme wurde im angefochtenen Entscheid ausführlich begründet. Hierzu finden sich in der Beschwerde keinerlei Ausführungen, obwohl es sich dabei um den Kern des angefochtenen Entscheides handelt. Insbesondere betrifft auch der Verweis auf die Rechtskenntnisse der Schwiegertochter nicht das Problem des Interessenkonfliktes bei der Verwaltung des Einkommens und Vermögens von B.________.</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