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5A_28/2011 vom 21. März 2011</w:t>
      </w:r>
    </w:p>
    <w:p>
      <w:r>
        <w:t>Bundesgericht, 2011-03-21, DE</w:t>
      </w:r>
    </w:p>
    <w:p>
      <w:r>
        <w:rPr>
          <w:b/>
        </w:rPr>
        <w:t xml:space="preserve">Quelle: </w:t>
      </w:r>
      <w:r>
        <w:t>https://mcp.opencaselaw.ch/entscheid/bger_5A_28_2011</w:t>
      </w:r>
    </w:p>
    <w:p>
      <w:r>
        <w:t>FR: TF 5A_28/2011 du 21 mars 2011</w:t>
      </w:r>
    </w:p>
    <w:p>
      <w:r>
        <w:t>IT: TF 5A_28/2011 del 21 marzo 2011</w:t>
      </w:r>
    </w:p>
    <w:p>
      <w:pPr>
        <w:pStyle w:val="Heading2"/>
      </w:pPr>
      <w:r>
        <w:t>Erwägungen</w:t>
      </w:r>
    </w:p>
    <w:p>
      <w:r>
        <w:rPr>
          <w:b/>
        </w:rPr>
        <w:t>E. 1</w:t>
      </w:r>
    </w:p>
    <w:p>
      <w:r>
        <w:t>Das Bundesgericht überprüft von Amtes wegen und mit freier Kognition, ob eine Beschwerde zulässig ist ( BGE 135 III 212 E. 1 S. 216; 134 III 115 E. 1 S. 117, je mit Hinweisen). Freilich muss die Eingabe auch bezüglich der Eintretensvoraussetzungen hinreichend begründet sein ( Art. 42 Abs. 1 und 2 BGG ; BGE 134 II 120 E. 1 S. 121).</w:t>
      </w:r>
    </w:p>
    <w:p>
      <w:r>
        <w:rPr>
          <w:b/>
        </w:rPr>
        <w:t>E. 2</w:t>
      </w:r>
    </w:p>
    <w:p>
      <w:r>
        <w:t>Mit seiner rechtzeitig ( Art. 100 Abs. 2 lit. a BGG ) eingereichten Beschwerde wehrt sich der Beschwerdeführer im Wesentlichen gegen den Entscheid, den die Schuldbetreibungs- und Konkurskommission des Obergerichts des Kantons Luzern am 23. November 2010 als obere kantonale Aufsichtsbehörde gefällt hat. Hierbei handelt es sich um den Entscheid einer letzten kantonalen Instanz ( Art. 75 Abs. 1 BGG ) in einer Schuldbetreibungs- und Konkurssache ( Art. 72 Abs. 2 lit. a BGG ). Insofern könnte das Bundesgericht ohne Rücksicht auf die gesetzliche Streitwertgrenze ( Art. 74 Abs. 2 lit. c BGG ) auf die Beschwerde grundsätzlich eintreten. Kein letztinstanzlicher kantonaler Entscheid im Sinne von Art. 75 Abs. 1 BGG ist die erstinstanzliche Verfügung des Amtsgerichtspräsidenten III von Luzern-Stadt vom 1. September 2010. Der Antrag, diese Verfügung aufzuheben bzw. deren Nichtigkeit festzustellen, ist unzulässig.</w:t>
      </w:r>
    </w:p>
    <w:p>
      <w:r>
        <w:rPr>
          <w:b/>
        </w:rPr>
        <w:t>E. 3</w:t>
      </w:r>
    </w:p>
    <w:p>
      <w:r>
        <w:t>Die Beschwerde in Zivilsachen ist grundsätzlich zulässig gegen Endentscheide, die das Verfahren abschliessen ( Art. 90 BGG ). Gegen Teilentscheide ( Art. 91 BGG ) und gegen Vor- und Zwischenentscheide ( Art. 92 und 93 BGG ) kann hingegen nur unter bestimmten Voraussetzungen Beschwerde in Zivilsachen geführt werden.</w:t>
      </w:r>
    </w:p>
    <w:p>
      <w:r>
        <w:rPr>
          <w:b/>
        </w:rPr>
        <w:t>E. 3.1</w:t>
      </w:r>
    </w:p>
    <w:p>
      <w:r>
        <w:t>Der angefochtene Entscheid der Schuldbetreibungs- und Konkurskommission des Obergerichts des Kantons Luzern hat den als "Verfahrensverfügung" bezeichneten Entscheid des Amtsgerichtspräsidenten III von Luzern-Stadt vom 1. September 2010 zum Gegenstand. In dieser Verfügung setzt der Amtsgerichtspräsident dem Beschwerdeführer eine Frist zur Nachreichung einer aktuellen Vollmacht, "aus der sich ergibt, dass Sie im vorliegenden Betreibungsverfahren gegen den Kanton Luzern berechtigt sind, die Z.________ AG zu vertreten." Für den Fall, dass binnen der gesetzten Frist keine entsprechende Vollmacht eingeht, stellt der Amtsgerichtspräsident in Aussicht, mangels Vertretungsbefugnis auf dem auszustellenden Zahlungsbefehl lediglich den Beschwerdeführer als Gläubiger aufzuführen (s. Bst. A.b).</w:t>
      </w:r>
    </w:p>
    <w:p>
      <w:r>
        <w:rPr>
          <w:b/>
        </w:rPr>
        <w:t>E. 3.2</w:t>
      </w:r>
    </w:p>
    <w:p>
      <w:r>
        <w:t>Ihrer Natur nach ist die Verfahrensverfügung des Amtsgerichtspräsidenten ein Zwischenentscheid über eine formelle Voraussetzung im Verfahren, das die Ausstellung des Zahlungsbefehls für die Z.________ AG zum Gegenstand hat. Der vorinstanzliche Entscheid schliesst dieses Verfahren nicht ab. Er erweist sich deshalb seinerseits als Zwischenentscheid (vgl. dazu BGE 134 III 426 E. 1.1 S. 428). Der selbständig eröffnete Zwischenentscheid betrifft weder die Zuständigkeit noch ein Ausstandsbegehren im Sinne von Art. 92 BGG . Die Beschwerde in Zivilsachen ist somit nur zulässig, wenn der obergerichtliche Entscheid entweder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obliegt es dem Beschwerdeführer darzutun, dass die Eintretensvoraussetzungen gemäss Art. 93 Abs. 1 BGG erfüllt sind, es sei denn, deren Vorliegen springe geradezu in die Augen ( BGE 133 III 629 E. 2.3.1 S. 632 und E. 2.4.2 S. 633).</w:t>
      </w:r>
    </w:p>
    <w:p>
      <w:r>
        <w:rPr>
          <w:b/>
        </w:rPr>
        <w:t>E. 3.3</w:t>
      </w:r>
    </w:p>
    <w:p>
      <w:r>
        <w:t>Der Beschwerdeführer äussert sich in seinem Schriftsatz zu einer ganzen Reihe von Gesetzesvorschriften, aufgrund derer das Bundesgericht seiner Ansicht nach seine verschiedenen Rechtsbegehren zu behandeln habe. Er behauptet jedoch an keiner Stelle, der vorinstanzliche Entscheid könne einen nicht wieder gutzumachenden Nachteil bewirken oder die Gutheissung seiner Beschwerde würde sofort einen Endentscheid herbeiführen und damit einen bedeutenden Aufwand an Zeit und Kosten für ein weitläufiges Beweisverfahren ersparen. Tut der Beschwerdeführer aber überhaupt nicht dar, warum ein selbständig anfechtbarer Zwischenentscheid im Sinne von Art. 93 Abs. 1 BGG vorliegt, übersieht er mithin diese Eintretensfrage schlechthin, so kann das Bundesgericht von vornherein nicht auf die Beschwerde eintreten (vgl. BGE 118 II 91 E. 1a S. 92).</w:t>
      </w:r>
    </w:p>
    <w:p>
      <w:r>
        <w:t>Dass der selbständig eröffnete Zwischenentscheid vor Bundesgericht anfechtbar gewesen wäre, liegt im Übrigen auch nicht auf der Hand. Insbesondere ist nicht ohne weiteres ersichtlich, welchen nicht wieder gutzumachenden Nachteil der Beschwerdeführer persönlich durch eine Verfahrensverfügung hätte erleiden können, die nicht die Gültigkeit seines eigenen Betreibungsbegehren betraf, sondern die Gültigkeit des Betreibungsbegehrens der Z.________ AG (s. E. 3.2). Denn an das Bundesgericht ist der Beschwerdeführer nicht als Vertreter dieser Gesellschaft, sondern in seinem eigenen Namen gelangt.</w:t>
      </w:r>
    </w:p>
    <w:p>
      <w:r>
        <w:rPr>
          <w:b/>
        </w:rPr>
        <w:t>E. 4</w:t>
      </w:r>
    </w:p>
    <w:p>
      <w:r>
        <w:t>Bei diesem Ausgang des Verfahrens hat der Beschwerdeführer für die Gerichtskosten aufzukommen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