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5A_289/2024 vom 8. November 2024</w:t>
      </w:r>
    </w:p>
    <w:p>
      <w:r>
        <w:t>Bundesgericht, 2024-11-08, FR</w:t>
      </w:r>
    </w:p>
    <w:p>
      <w:r>
        <w:rPr>
          <w:b/>
        </w:rPr>
        <w:t xml:space="preserve">Quelle: </w:t>
      </w:r>
      <w:r>
        <w:t>https://mcp.opencaselaw.ch/entscheid/bger_5A_289_2024</w:t>
      </w:r>
    </w:p>
    <w:p>
      <w:r>
        <w:t>FR: TF 5A_289/2024 du 8 novembre 2024</w:t>
      </w:r>
    </w:p>
    <w:p>
      <w:r>
        <w:t>IT: TF 5A_289/2024 del 8 novembre 2024</w:t>
      </w:r>
    </w:p>
    <w:p>
      <w:pPr>
        <w:pStyle w:val="Heading2"/>
      </w:pPr>
      <w:r>
        <w:t>Erwägungen</w:t>
      </w:r>
    </w:p>
    <w:p>
      <w:r>
        <w:rPr>
          <w:b/>
        </w:rPr>
        <w:t>E. 1.1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et 74 al. 1 let. b LTF, cf.</w:t>
      </w:r>
    </w:p>
    <w:p>
      <w:r>
        <w:t>infra consid. 3.2 à 3.2.3). Le recours est donc en principe recevable au regard des dispositions qui précèdent.</w:t>
      </w:r>
    </w:p>
    <w:p>
      <w:r>
        <w:t>Pour le surplus, en tant que les recourants concluent, d'une part, à la réforme de l'arrêt cantonal en ce sens que l'action en cessation du trouble est déclarée recevable et, d'autre part, au renvoi de la cause à l'autorité cantonale pour statuer sur les autres points de l'appel, leurs conclusions sont recevables.</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144 III 93 consid. 5.2.2; 140 III 264 consid. 2.3), doit, sous peine d'irrecevabilité, satisfaire au principe d'allégation susmentionné ( art. 106 al. 2 LTF ; cf.</w:t>
      </w:r>
    </w:p>
    <w:p>
      <w:r>
        <w:t>supra consid. 2.1; ATF 148 IV 39 consid. 2.3.5; 147 I 73 consid. 2.2; 146 IV 88 consid. 1.3.1).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w:t>
      </w:r>
    </w:p>
    <w:p>
      <w:r>
        <w:rPr>
          <w:b/>
        </w:rPr>
        <w:t>E. 3</w:t>
      </w:r>
    </w:p>
    <w:p>
      <w:r>
        <w:t>Les recourants se plaignent de la violation de l' art. 52 CPC , en lien avec les art. 59 et 60 CPC . Ils soutiennent en substance que ce serait à tort que la cour cantonale a réformé la décision de première instance en déclarant irrecevable leur action en cessation du trouble, faute de compétence à raison de la valeur litigieuse de la juge de paix.</w:t>
      </w:r>
    </w:p>
    <w:p>
      <w:r>
        <w:rPr>
          <w:b/>
        </w:rPr>
        <w:t>E. 3.1</w:t>
      </w:r>
    </w:p>
    <w:p>
      <w:r>
        <w:t>Il ressort de l'arrêt querellé que, dans son jugement, la magistrate de première instance a implicitement admis sa compétence pour connaître de l'action en cessation du trouble. La cour cantonale a quant à elle considéré que cette autorité aurait dû se déclarer d'office incompétente ( art. 60 CPC ) pour connaître du litige opposant les parties, respectivement déclarer l'action irrecevable au regard de l' art. 59 al. 2 let. b CPC .</w:t>
      </w:r>
    </w:p>
    <w:p>
      <w:r>
        <w:rPr>
          <w:b/>
        </w:rPr>
        <w:t>E. 3.1.1</w:t>
      </w:r>
    </w:p>
    <w:p>
      <w:r>
        <w:t>Le tribunal n'entre en matière que sur les demandes et les requêtes qui satisfont aux conditions de recevabilité de l'action ( art. 59 al. 1 CPC ), l'une d'entre elles étant que le tribunal doit notamment être compétent à raison de la matière et du lieu ( art. 59 al. 2 let. b CPC ). Le tribunal examine d'office si les conditions de recevabilité sont remplies ( art. 60 CPC ).</w:t>
      </w:r>
    </w:p>
    <w:p>
      <w:r>
        <w:rPr>
          <w:b/>
        </w:rPr>
        <w:t>E. 3.1.2</w:t>
      </w:r>
    </w:p>
    <w:p>
      <w:r>
        <w:t>Aux termes de l'art. 113 al. 1bis de la loi vaudoise d'organisation judiciaire (LOJV; BLV 173.01), le juge de paix connaît de toutes les causes patrimoniales dont la valeur litigieuse est inférieure à 10'000 fr. et qui ne sont pas attribuées par la loi à une autre autorité. La disposition précise que cette règle est impérative. L'art. 96b al. 3 LOJV prévoit que le tribunal d'arrondissement connaît de toutes les causes patrimoniales dont la valeur litigieuse est supérieure à 30'000 fr. et inférieure ou égale à 100'000 fr. et qui ne sont pas attribuées par la loi à une autre autorité. L'art. 96d al. 2 LOJV dispose quant à lui que le président du tribunal d'arrondissement connaît de toutes les causes patrimoniales dont la valeur litigieuse est comprise entre 10'000 et 30'000 fr. et qui ne sont pas attribuées par la loi à une autre autorité.</w:t>
      </w:r>
    </w:p>
    <w:p>
      <w:r>
        <w:rPr>
          <w:b/>
        </w:rPr>
        <w:t>E. 3.2</w:t>
      </w:r>
    </w:p>
    <w:p>
      <w:r>
        <w:t>Pour examiner à quelle autorité revenait la compétence matérielle dans le cas concerné, la cour cantonale a procédé à la détermination de la valeur du litige.</w:t>
      </w:r>
    </w:p>
    <w:p>
      <w:r>
        <w:rPr>
          <w:b/>
        </w:rPr>
        <w:t>E. 3.2.1</w:t>
      </w:r>
    </w:p>
    <w:p>
      <w:r>
        <w:t>Il ressort de l'arrêt entrepris que, dans leur demande, les recourants avaient estimé la valeur litigieuse de leurs prétentions à 9'999 fr.</w:t>
      </w:r>
    </w:p>
    <w:p>
      <w:r>
        <w:t>La juridiction précédente a considéré que la valeur litigieuse correspondait à la perte de valeur du bien-fonds des recourants liée à la présence de chevaux sur la propriété des intimés, dans la mesure où il n'apparaissait pas que la détention de chevaux par ces derniers augmente la valeur de l'immeuble des recourants. Il y avait donc lieu d'estimer la diminution de cette valeur, consécutive à la présence des chevaux, de leur abri et de la zone de parc y attenante sur la parcelle voisine de celle des recourants. L'autorité cantonale a relevé que, de manière objective et sans égard à la problématique de voisinage objet de la procédure, il ressortait de l'extrait du Registre foncier relatif à la parcelle des recourants que son estimation fiscale s'élevait à 797'000 fr. et que cette estimation était toujours inférieure à la valeur de marché, de sorte que celle-ci ne saurait être évaluée à moins de 1'200'000 fr. compte tenu du lieu de situation du bien-fonds, de sa surface et de la qualité du bâtiment, telle qu'elle pouvait être observée sur les photographies au dossier. La cour cantonale a considéré que, même en retenant le montant - manifestement trop faible - de l'estimation fiscale, considérer que la valeur litigieuse du litige s'élèverait, comme le prétendaient les recourants, à 9'999 fr., reviendrait à retenir que la présence de chevaux, d'un abri et d'un parc leur étant destiné, sur la parcelle des intimés, ne diminuerait la valeur de leur propre terrain qu'à hauteur d'à peine plus de 1%, raisonnement qui ne pouvait être suivi. La présence de chevaux sur la parcelle voisine, avec tout ce que cela impliquait d'aménagements - abri et zone de parc -, ne correspondait en effet pas à ce qui pouvait être généralement attendu d'un acheteur désireux d'acquérir un bien immobilier situé dans un quartier de villas. La présence de crottin de cheval, de mouches et d'odeurs désagréables causés par les animaux, dont les recourants se plaignaient et dont l'existence avait été retenue par la juge de paix, étaient au contraire susceptibles de décourager nombre d'acheteurs. Les juges cantonaux ont encore retenu que suivre les recourants dans leur estimation de la valeur litigieuse reviendrait à admettre que la présence de chevaux, à proximité immédiate de leur terrain, serait sans incidence ou presque sur la valeur de celui-ci, ce qui était contredit par les éléments qu'ils faisaient valoir dans leur action en cessation du trouble. Au même titre que la vue, il y avait lieu de retenir que le voisinage immédiat d'un terrain - selon qu'il s'agisse de villas avec jardins, d'un pré, d'une ferme, de commerces, d'un entrepôt, d'un garage ou encore d'une usine, par exemple - constituait un critère déterminant qui entrait en considération pour la fixation de son prix de vente.</w:t>
      </w:r>
    </w:p>
    <w:p>
      <w:r>
        <w:t>Forte de ces considérations, la juridiction cantonale a finalement retenu que la diminution de valeur du bien-fonds des recourants par rapport à la situation qui prévaudrait en l'absence des chevaux, de leur abri et zone de parc attenante sur la parcelle des intimés pouvait être fixée à 5%, soit à 60'000 fr. en se fondant sur le prix du marché estimé pour la parcelle, ce qui excluait la compétence de la juge de paix.</w:t>
      </w:r>
    </w:p>
    <w:p>
      <w:r>
        <w:rPr>
          <w:b/>
        </w:rPr>
        <w:t>E. 3.2.2</w:t>
      </w:r>
    </w:p>
    <w:p>
      <w:r>
        <w:t>Les recourants soutiennent que l'incompétence retenue par l'autorité cantonale sur la base de la valeur litigieuse revêtirait un caractère subjectif dès lors qu'elle concerne la perte de valeur d'un fond. Selon eux, le calcul établi dans l'arrêt querellé serait ainsi discutable et l'incompétence ne serait pas manifeste.</w:t>
      </w:r>
    </w:p>
    <w:p>
      <w:r>
        <w:rPr>
          <w:b/>
        </w:rPr>
        <w:t>E. 3.2.3</w:t>
      </w:r>
    </w:p>
    <w:p>
      <w:r>
        <w:t>Autant que la critique soit recevable comme telle (cf.</w:t>
      </w:r>
    </w:p>
    <w:p>
      <w:r>
        <w:t>supra consid. 2.1), il faut constater qu'en l'espèce, la cour cantonale a expliqué de manière circonstanciée et détaillée les raisons pour lesquelles la valeur litigieuse devait être arrêtée à 60'000 fr. et les affirmations succinctes contenues dans le recours sont insuffisantes pour remettre valablement en cause cette appréciation. Les recourants échouent ainsi à démontrer que l'autorité cantonale aurait violé le droit et la valeur litigieuse qu'elle a retenue peut dès lors être reprise pour le raisonnement qui va suivre.</w:t>
      </w:r>
    </w:p>
    <w:p>
      <w:r>
        <w:rPr>
          <w:b/>
        </w:rPr>
        <w:t>E. 3.3.1</w:t>
      </w:r>
    </w:p>
    <w:p>
      <w:r>
        <w:t>La juridiction précédente a indiqué que le droit cantonal décidait si les règles de compétence</w:t>
      </w:r>
    </w:p>
    <w:p>
      <w:r>
        <w:t>ratione materiae et</w:t>
      </w:r>
    </w:p>
    <w:p>
      <w:r>
        <w:t>valoris étaient dispositives ou impératives et si elles pouvaient faire l'objet d'une acceptation tacite. Elle a relevé que, en droit vaudois, la compétence</w:t>
      </w:r>
    </w:p>
    <w:p>
      <w:r>
        <w:t>ratione valoris du juge de paix, lequel connaissait de toutes les causes patrimoniales dont la valeur litigieuse était inférieure à 10'000 fr. et qui n'étaient pas attribuées par la loi à une autre autorité, était impérative (cf.</w:t>
      </w:r>
    </w:p>
    <w:p>
      <w:r>
        <w:t>supra consid. 3.1.2), de sorte qu'elle ne pouvait pas être admise par acceptation tacite d'une partie, en l'occurrence des intimés.</w:t>
      </w:r>
    </w:p>
    <w:p>
      <w:r>
        <w:t>La cour cantonale a encore retenu que l'autorité de recours devait examiner d'office la compétence matérielle du tribunal de première instance, même en l'absence de grief, et que si une partie soulevait le vice en deuxième instance seulement, l'abus de droit ne pouvait pas lui être opposé. Elle a ainsi admis que le grief d'irrecevabilité pouvait être invoqué en deuxième instance par les intimés, même s'il n'avait pas été soulevé auparavant.</w:t>
      </w:r>
    </w:p>
    <w:p>
      <w:r>
        <w:rPr>
          <w:b/>
        </w:rPr>
        <w:t>E. 3.3.2</w:t>
      </w:r>
    </w:p>
    <w:p>
      <w:r>
        <w:t>Les recourants soutiennent avoir proposé une valeur litigieuse qui aurait été tacitement acceptée et font valoir qu'en ne soulevant l'irrecevabilité qu'en deuxième instance, alors qu'il était établi que la problématique de la compétence du juge de paix leur était connue dans le dépôt de leur réponse, les intimés auraient agi d'une manière contraire à la bonne foi et essaieraient simplement de se donner une deuxième chance au fond, après avoir succombé à l'action de première instance. Par ailleurs, les intimés n'auraient pas valablement contesté la recevabilité</w:t>
      </w:r>
    </w:p>
    <w:p>
      <w:r>
        <w:t>ratione valoris de la demande dès lors qu'ils s'en seraient remis à justice et qu'ils n'auraient pas conclu à l'irrecevabilité de la demande.</w:t>
      </w:r>
    </w:p>
    <w:p>
      <w:r>
        <w:rPr>
          <w:b/>
        </w:rPr>
        <w:t>E. 3.3.3</w:t>
      </w:r>
    </w:p>
    <w:p>
      <w:r>
        <w:t>S'il est définitivement établi qu'une condition de recevabilité fait défaut, les débats ne peuvent avoir lieu sur le fond et une décision de non-entrée en matière est rendue ( ATF 140 III 159 consid. 4.2.4). Si, malgré l'absence d'une condition de recevabilité, une décision de non-entrée en matière n'est pas rendue, mais un jugement au fond, ce dernier peut être entaché de graves vices et même, dans certaines circonstances, être nul ( ATF 140 III 227 consid. 3.3; 137 III 217 consid. 2.4.3; cf. ég. arrêts 4A_229/2017 du 7 décembre 2017 consid. 3.2; 4A_100/2016 du 13 juillet 2016 consid. 2.1.1, non publié in ATF 142 III 515 ; 4A_488/2014 du 20 février 2015 consid. 3.1, non publié in ATF 141 III 137 ; 4A_291/2015 et 4A_301/2015 du 3 février 2016 consid. 3.2). Il convient toutefois de faire une distinction par rapport à la condition de procédure en question, d'autant plus que, par exemple, en ce qui concerne la compétence territoriale, une admission est envisageable dans certains cas ( art. 18 CPC ; arrêts 4A_595/2019 du 18 février 2020 consid. 2.3.1; 4A_229/2017 du 7 décembre 2017 consid. 3.2 et les références). Les motifs de nullité entrant en ligne de compte sont avant tout l'incompétence fonctionnelle et matérielle de l'autorité qui statue ainsi que des vices procéduraux flagrants ( ATF 150 II 244 consid. 4.2.1; 145 III 436 consid. 4; arrêt 9C_673/2023 du 19 août 2024 consid. 4.1, destiné à la publication).</w:t>
      </w:r>
    </w:p>
    <w:p>
      <w:r>
        <w:t>La compétence matérielle des tribunaux (cf. art. 4 ss CPC ) est soustraite à la disposition des parties. Celles-ci ne peuvent pas convenir de soumettre un litige à un autre tribunal étatique que celui désigné par la loi, à moins que celle-ci ne prévoie une possibilité de choix ( ATF 138 III 471 consid. 3.1 et les références). Une instance cantonale supérieure doit examiner la compétence matérielle de son instance précédente même en l'absence de griefs correspondants (arrêts 4A_77/2018 du 7 mai 2018 consid. 6; 4A_229/2017 du 7 décembre 2017 consid. 3.2; 4A_100/2016 du 13 juillet 2016 consid. 2.1.1, non publié in ATF 142 III 515 ; 4A_488/2014 du 20 février 2015 consid. 3.1, non publié in ATF 141 III 137 ; 4A_291/2015 et 4A_301/2015 du 3 février 2016 consid. 3.2). Il s'agit d'éviter qu'un jugement soit rendu par un tribunal qui n'est pas matériellement appelé à statuer (arrêt 4A_595/2019 du 18 février 2020 consid. 2.3.2).</w:t>
      </w:r>
    </w:p>
    <w:p>
      <w:r>
        <w:t>En vertu de l' art. 52 CPC , quiconque participe à la procédure doit se conformer aux règles de la bonne foi. Un des principaux devoirs imposés à une partie par la loyauté veut qu'elle se prévale de ses moyens au moment prévu par la loi et sans tarder, à défaut de quoi elle troublerait inutilement le cours du procès ( ATF 149 III 12 consid. 3.2.1; arrêts 4A_317/2024 du 26 août 2024 consid. 5.1; 5A_895/2022 du 17 juillet 2023 consid. 8.5). Il est contraire au principe de la bonne foi d'invoquer après coup des moyens que l'on avait renoncé à faire valoir en temps utile en cours de procédure, parce que la décision intervenue a finalement été défavorable ( ATF 146 III 265 consid. 5.5.3; 138 III 374 consid. 4.3.2).</w:t>
      </w:r>
    </w:p>
    <w:p>
      <w:r>
        <w:rPr>
          <w:b/>
        </w:rPr>
        <w:t>E. 3.3.4</w:t>
      </w:r>
    </w:p>
    <w:p>
      <w:r>
        <w:t>En l'espèce et s'agissant d'une question relevant de la compétence matérielle impérative du juge de paix, la motivation sommaire et péremptoire des recourants ne permet pas de contester valablement les considérations cantonales, lesquelles s'appuient sur la jurisprudence fédérale susmentionnée. C'est en outre en vain que les recourants se prévalent de l'arrêt 5A_347/2018 du 26 octobre 2018 de la Cour de céans, dès lors notamment que cette jurisprudence concerne un défaut préalable de conciliation et non, comme en l'espèce, un défaut de compétence matérielle impérative au regard du droit cantonal. Au demeurant, il ressort de l'arrêt querellé que les intimés avaient déjà soulevé la question de la compétence du juge de paix dans leur réponse de première instance, en indiquant que la valeur litigieuse articulée par les recourants dans leur demande ne reposait sur aucune base concrète et que, si la valeur litigieuse devait être plus élevée, la magistrate de première instance ne serait pas compétente pour connaître du litige. On ne peut dès lors pas considérer qu'ils auraient agi contrairement aux règles de la bonne foi en soulevant l'incompétence de cette autorité en deuxième instance et le fait qu'ils n'aient pas formellement conclu à l'irrecevabilité de la demande des recourants en première instance n'y change rien.</w:t>
      </w:r>
    </w:p>
    <w:p>
      <w:r>
        <w:t>Au vu de ce qui précède, la critique est infondée dans la mesure où elle est recevable.</w:t>
      </w:r>
    </w:p>
    <w:p>
      <w:r>
        <w:rPr>
          <w:b/>
        </w:rPr>
        <w:t>E. 3.4</w:t>
      </w:r>
    </w:p>
    <w:p>
      <w:r>
        <w:t>Le rejet - dans la mesure de leur recevabilité - des griefs qui précèdent scelle le sort du recours, de sorte qu'il n'y a pas lieu d'examiner la critique des recourants selon laquelle, dans le cadre de la procédure devant le juge de paix, les intimés n'auraient pas subi de préjudice procédural puisqu'ils auraient bénéficié de garanties tout à fait comparables à celles d'une procédure ordinaire.</w:t>
      </w:r>
    </w:p>
    <w:p>
      <w:r>
        <w:rPr>
          <w:b/>
        </w:rPr>
        <w:t>E. 4</w:t>
      </w:r>
    </w:p>
    <w:p>
      <w:r>
        <w:t>En définitive, le recours est rejeté dans la mesure où il est recevable. Les frais judiciaires sont mis à la charge des recourants, qui succombent ( art. 66 al. 1 LTF ). Il n'est pas alloué de dépens aux intimés, qui n'ont pas été invités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