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289/2011 vom 14. Juli 2011</w:t>
      </w:r>
    </w:p>
    <w:p>
      <w:r>
        <w:t>Bundesgericht, 2011-07-14, FR</w:t>
      </w:r>
    </w:p>
    <w:p>
      <w:r>
        <w:rPr>
          <w:b/>
        </w:rPr>
        <w:t xml:space="preserve">Quelle: </w:t>
      </w:r>
      <w:r>
        <w:t>https://mcp.opencaselaw.ch/entscheid/bger_5A_289_2011</w:t>
      </w:r>
    </w:p>
    <w:p>
      <w:r>
        <w:t>FR: TF 5A 289/2011 du 14 juillet 2011</w:t>
      </w:r>
    </w:p>
    <w:p>
      <w:r>
        <w:t>IT: TF 5A 289/2011 del 14 luglio 2011</w:t>
      </w:r>
    </w:p>
    <w:p>
      <w:pPr>
        <w:pStyle w:val="Heading2"/>
      </w:pPr>
      <w:r>
        <w:t>Regeste</w:t>
      </w:r>
    </w:p>
    <w:p>
      <w:r>
        <w:t>séquestre | Droit des poursuites et faillites</w:t>
      </w:r>
    </w:p>
    <w:p>
      <w:pPr>
        <w:pStyle w:val="Heading2"/>
      </w:pPr>
      <w:r>
        <w:t>Erwägungen</w:t>
      </w:r>
    </w:p>
    <w:p>
      <w:r>
        <w:rPr>
          <w:b/>
        </w:rPr>
        <w:t>E. 1.1</w:t>
      </w:r>
    </w:p>
    <w:p>
      <w:r>
        <w:t>Le recours a été déposé à temps ( art. 100 al. 1 LTF ) à l'encontre d'une décision finale ( art. 90 LTF ) rendue en matière de poursuite pour dettes ( art. 72 al. 2 let. a LTF ) par une autorité cantonale de dernière instance statuant sur recours ( art. 75 LTF ); la valeur litigieuse atteint le seuil de 30'000 fr. ( art. 74 al. 1 let. b LTF ); la recourante a qualité pour recourir (art. 76 al. 1 aLTF [ art. 132 al. 1 LTF ]).</w:t>
      </w:r>
    </w:p>
    <w:p>
      <w:r>
        <w:rPr>
          <w:b/>
        </w:rPr>
        <w:t>E. 1.2</w:t>
      </w:r>
    </w:p>
    <w:p>
      <w:r>
        <w:t>L'arrêt sur opposition au séquestre rendu par l'autorité judiciaire supérieure ( art. 278 al. 3 LP ) porte sur des mesures provisionnelles au sens de l' art. 98 LTF ( ATF 135 III 232 consid. 1.2; arrêt 5A_697/2010 du 11 novembre 2010 consid. 1.2); la partie recourante ne peut donc se plaindre que d'une violation de ses droits constitutionnels. Le Tribunal fédéral n'examine un tel grief que s'il a été invoqué et motivé ( art. 106 al. 2 LTF ), à savoir expressément soulevé et exposé de manière claire et détaillée ( ATF 134 II 349 consid. 3 et les arrêts cités).</w:t>
      </w:r>
    </w:p>
    <w:p>
      <w:r>
        <w:rPr>
          <w:b/>
        </w:rPr>
        <w:t>E. 1.3</w:t>
      </w:r>
    </w:p>
    <w:p>
      <w:r>
        <w:t>Saisi d'un recours fondé sur l' art. 98 LTF (cf. supra, consid. 1.2), le Tribunal fédéral ne revoit l'application du droit fédéral que sous l'angle restreint de l'arbitraire (arrêt 5A_697/2010 précité consid. 1.3, avec les citations).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de la loi manifestement insoutenable ( ATF 134 II 349 consid. 3, avec les arrêts cités).</w:t>
      </w:r>
    </w:p>
    <w:p>
      <w:r>
        <w:rPr>
          <w:b/>
        </w:rPr>
        <w:t>E. 2.1</w:t>
      </w:r>
    </w:p>
    <w:p>
      <w:r>
        <w:t>En l'espèce, la recourante se plaint d'une "violation du droit fédéral ( art. 95 let. a LTF )" à un double titre: En premier lieu, la cour cantonale a converti en francs suisses la créance en livres sterling à la date du dépôt de la requête de séquestre (i.e. le 27 novembre 2009), alors qu'il fallait retenir le jour auquel le jugement de divorce est devenu définitif et exécutoire (i.e. le 26 novembre 2007). En second lieu, la juridiction précédente a violé l' art. 104 al. 1 CO en fixant le dies a quo de l'intérêt moratoire au lendemain de la notification à l'intimé de l'ordonnance de séquestre et du commandement de payer de la poursuite en validation (i.e. le 18 février 2011), en lieu et place du 26 novembre 2007.</w:t>
      </w:r>
    </w:p>
    <w:p>
      <w:r>
        <w:rPr>
          <w:b/>
        </w:rPr>
        <w:t>E. 2.2</w:t>
      </w:r>
    </w:p>
    <w:p>
      <w:r>
        <w:t>Il est vrai, comme le souligne l'intimé, que la recourante n'invoque pas expressément le grief d'arbitraire. Cependant, cela ne saurait lui porter préjudice s'il ressort par ailleurs clairement de son argumentation qu'elle entend se plaindre d'une violation de ses droits constitutionnels (cf. arrêt 1C_32/2007 du 18 octobre 2007 consid. 1.3; MERZ, in: Basler Kommentar, BGG, 2008, n° 61 ad art. 42 LTF ; cf. également: FF 2001 p. 4142 ad art. 100 Projet/LTF ["si le recourant n'indique pas au moins implicitement quel est le droit fondamental violé [...]"), ici l'arbitraire dans l'application du droit fédéral (cf. arrêt 5A_739/2007 du 26 février 2008 consid. 3.2 [i.c. violation de l' art. 49 al. 1 Cst. ]). Toutefois, en l'occurrence, la recourante se limite à exposer sa propre interprétation des normes prétendument violées (i.e. l' art. 218 al. 2 CC , en relation avec l' art. 104 al. 1 CO , et l' art. 84 al. 2 CO ), mais ne réfute pas les motifs de la juridiction précédente ni, a fortiori, ne démontre en quoi ils seraient arbitraires (cf. supra, consid. 1.3). Il s'ensuit que, faute d'être motivé conformément aux exigences légales, le présent recours est irrecevable.</w:t>
      </w:r>
    </w:p>
    <w:p>
      <w:r>
        <w:rPr>
          <w:b/>
        </w:rPr>
        <w:t>E. 3</w:t>
      </w:r>
    </w:p>
    <w:p>
      <w:r>
        <w:t>Vu l'issue du recours, les frais judiciaires doivent être mis à la charge de la recourante, qui succombe ( art. 66 al. 1 LTF ). Celle-ci versera, en outre, une indemnité de dépens à l'intimé, qui a principalement conclu à l'irrecevabilité du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