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5A_287/2022 vom 21. April 2022</w:t>
      </w:r>
    </w:p>
    <w:p>
      <w:r>
        <w:t>Bundesgericht, 2022-04-21, DE</w:t>
      </w:r>
    </w:p>
    <w:p>
      <w:r>
        <w:rPr>
          <w:b/>
        </w:rPr>
        <w:t xml:space="preserve">Quelle: </w:t>
      </w:r>
      <w:r>
        <w:t>https://mcp.opencaselaw.ch/entscheid/bger_5A_287_2022</w:t>
      </w:r>
    </w:p>
    <w:p>
      <w:r>
        <w:t>FR: TF 5A_287/2022 du 21 avril 2022</w:t>
      </w:r>
    </w:p>
    <w:p>
      <w:r>
        <w:t>IT: TF 5A_287/2022 del 21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Erwägungen des angefochtenen Entscheides gehen in erster Linie dahin, dass gegen den KESB-Beschluss, dessen Ungültigerklärung verlangt werde, innert Frist keine Beschwerde eingegangen sei; abgesehen davon liege auch keine Begründung für die angebliche Ungültigkeit vor.</w:t>
      </w:r>
    </w:p>
    <w:p>
      <w:r>
        <w:rPr>
          <w:b/>
        </w:rPr>
        <w:t>E. 3</w:t>
      </w:r>
    </w:p>
    <w:p>
      <w:r>
        <w:t>Eine Auseinandersetzung mit diesen Erwägungen findet nicht ansatzweise statt. Vielmehr wird - unter Beilage eines Stapels von Berichten und Korrespondenz mit Behörden, namentlich zu Scientology - festgehalten, dass "Frau E.________ sel." die Verwaltung des Kantonsspitals auf Ungereimtheiten hingewiesen habe; ferner wird auf verschiedene Bücher hingewiesen. All dies steht in keinem ersichtlichen Zusammenhang mit den Erwägungen des angefochtenen Entscheides.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