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5A_287/2020 vom 23. April 2020</w:t>
      </w:r>
    </w:p>
    <w:p>
      <w:r>
        <w:t>Bundesgericht, 2020-04-23, DE</w:t>
      </w:r>
    </w:p>
    <w:p>
      <w:r>
        <w:rPr>
          <w:b/>
        </w:rPr>
        <w:t xml:space="preserve">Quelle: </w:t>
      </w:r>
      <w:r>
        <w:t>https://mcp.opencaselaw.ch/entscheid/bger_5A_287_2020</w:t>
      </w:r>
    </w:p>
    <w:p>
      <w:r>
        <w:t>FR: TF 5A_287/2020 du 23 avril 2020</w:t>
      </w:r>
    </w:p>
    <w:p>
      <w:r>
        <w:t>IT: TF 5A_287/2020 del 23 aprile 2020</w:t>
      </w:r>
    </w:p>
    <w:p>
      <w:pPr>
        <w:pStyle w:val="Heading2"/>
      </w:pPr>
      <w:r>
        <w:t>Erwägungen</w:t>
      </w:r>
    </w:p>
    <w:p>
      <w:r>
        <w:rPr>
          <w:b/>
        </w:rPr>
        <w:t>E. 1</w:t>
      </w:r>
    </w:p>
    <w:p>
      <w:r>
        <w:t>Angefochten ist ein kantonal letztinstanzliches Urteil über die Genehmigung eines (Schluss-) Rechenschaftsberichtes betreffend eine Beistandschaft; die Beschwerde in Zivilsachen steht grundsätzlich offen (Art. 72 Abs. 2 lit. b Ziff. 6, Art. 75 Abs. 1 und Art. 90 BGG ). Indes ist der Anfechtungsgegenstand auf dieses Thema begrenzt; soweit mehr oder anderes verlangt wird, ist darauf nicht einzutreten ( BGE 136 II 457 E. 4.2 S. 462 f.; 136 V 362 E. 3.4.2 S. 365 ; 142 I 155 E. 4.4.2 S. 156).</w:t>
      </w:r>
    </w:p>
    <w:p>
      <w:r>
        <w:rPr>
          <w:b/>
        </w:rPr>
        <w:t>E. 2</w:t>
      </w:r>
    </w:p>
    <w:p>
      <w:r>
        <w:t>Die Ausführungen in der Beschwerde sind zum Teil schwer verständlich. In erster Linie macht der Beschwerdeführer Schadenersatz gegen den Kanton Zürich geltend, weil beim Umzug Arbeitszeugnisse, Diplome, der Reisepass, das Dienstbüchlein, die Fotoalben und ein Vorderlader-Revolver verloren gegangen seien. Diesbezüglich wurde bereits im angefochtenen Entscheid festgehalten, dass eine Schadenersatzklage nicht im Rahmen des vorliegenden Beschwerdegegenstandes (Genehmigung eines Schlussberichtes) erhoben werden kann. Gleiches gilt für das Genugtuungsbegehren über Fr. 20'000.--, welches sinngemäss mit dem Verlust wertvoller Gegenstände, namentlich eines Fahrzeuges und einer Waffensammlung, begründet wird (aus dem angefochtenen Entscheid lässt sich erschliessen, dass damit namentlich der vom Beistand veranlasste Verkauf der im Jahr 2010 beim Beschwerdeführer polizeilich beschlagnahmten Waffen angesprochen ist). Im Übrigen betreffen die kritisierten Vorgänge, wie das Obergericht festgehalten hat, eine viel frühere Rechenschaftsperiode als diejenige, für welche nunmehr der Schlussbericht genehmigt worden ist.</w:t>
      </w:r>
    </w:p>
    <w:p>
      <w:r>
        <w:rPr>
          <w:b/>
        </w:rPr>
        <w:t>E. 3</w:t>
      </w:r>
    </w:p>
    <w:p>
      <w:r>
        <w:t>Nach dem Gesagten ist auf die Beschwerde im vereinfachten Verfahren nach Art. 108 Abs. 1 lit. a BGG nicht einzutreten. Im Übrigen würde es auch an einer hinreichenden Beschwerdebegründung fehlen, inwiefern der angefochtene Entscheid Recht verletzen soll, so dass ebenfalls gemäss Art. 108 Abs. 1 lit. b BGG nicht auf die Beschwerde eingetreten werden könnte.</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