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5A_287/2016 vom 19. April 2016</w:t>
      </w:r>
    </w:p>
    <w:p>
      <w:r>
        <w:t>Bundesgericht, 2016-04-19, DE</w:t>
      </w:r>
    </w:p>
    <w:p>
      <w:r>
        <w:rPr>
          <w:b/>
        </w:rPr>
        <w:t xml:space="preserve">Quelle: </w:t>
      </w:r>
      <w:r>
        <w:t>https://mcp.opencaselaw.ch/entscheid/bger_5A_287_2016</w:t>
      </w:r>
    </w:p>
    <w:p>
      <w:r>
        <w:t>FR: TF 5A_287/2016 du 19 avril 2016</w:t>
      </w:r>
    </w:p>
    <w:p>
      <w:r>
        <w:t>IT: TF 5A_287/2016 del 19 aprile 2016</w:t>
      </w:r>
    </w:p>
    <w:p>
      <w:pPr>
        <w:pStyle w:val="Heading2"/>
      </w:pPr>
      <w:r>
        <w:t>Volltext</w:t>
      </w:r>
    </w:p>
    <w:p>
      <w:r>
        <w:t>Bundesgericht</w:t>
      </w:r>
    </w:p>
    <w:p>
      <w:r>
        <w:t>Tribunal fédéral</w:t>
      </w:r>
    </w:p>
    <w:p>
      <w:r>
        <w:t>Tribunale federale</w:t>
      </w:r>
    </w:p>
    <w:p>
      <w:r>
        <w:t>Tribunal federal</w:t>
      </w:r>
    </w:p>
    <w:p>
      <w:r>
        <w:t>{T 0/2}</w:t>
      </w:r>
    </w:p>
    <w:p>
      <w:r>
        <w:t>5A_287/2016</w:t>
      </w:r>
    </w:p>
    <w:p>
      <w:r>
        <w:t>Urteil vom 19. April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U.________.</w:t>
      </w:r>
    </w:p>
    <w:p>
      <w:r>
        <w:t>Gegenstand</w:t>
      </w:r>
    </w:p>
    <w:p>
      <w:r>
        <w:t>Genehmigung des Rechenschaftsberichtes (Beistandschaft),</w:t>
      </w:r>
    </w:p>
    <w:p>
      <w:r>
        <w:t>Beschwerde nach Art. 72 ff. BGG gegen das Urteil vom 1. April 2016 des Obergerichts des Kantons Zürich (II. Zivilkammer).</w:t>
      </w:r>
    </w:p>
    <w:p>
      <w:r>
        <w:t>Nach Einsicht</w:t>
      </w:r>
    </w:p>
    <w:p>
      <w:r>
        <w:t>in die Beschwerde gemäss Art. 72 ff. BGG gegen das Urteil vom 1. April 2016 des Obergerichts des Kantons Zürich, das eine Verletzung des Beschleunigungsverbots durch den Bezirksrat Uster festgestellt und dessen Kostenauflage zu Lasten des Beschwerdeführers aufgehoben hat, im Übrigen jedoch auf die Beschwerde des Beschwerdeführers gegen einen abweisenden Beschwerdeentscheid des Bezirksrates (betreffend Genehmigung des Rechenschaftsberichts des Beistandes des Beschwerdeführers im Rahmen einer Vertretungsbeistandschaft mit Einkommens- und Vermögensverwaltung) nicht eingetreten ist,</w:t>
      </w:r>
    </w:p>
    <w:p>
      <w:r>
        <w:t>in Erwägung,</w:t>
      </w:r>
    </w:p>
    <w:p>
      <w:r>
        <w:t>dass das Obergericht erwog, der Beschwerdeführer stelle keine Anträge und gehe nicht einmal ansatzweise auf die Erwägungen des Bezirksrates ein, die Beistandschaft als solche könne ebenso wenig Gegenstand des Beschwerdeverfahrens sein wie die vom Beschwerdeführer gestellte Schadenersatzforderung, auf die Beschwerde sei daher nicht einzutreten, hingegen dürften die Kosten des Verfahrens vor dem Bezirksrat nicht dem Beschwerdeführer überbunden werden, schliesslich sei eine Verletzung des Beschleunigungsverbots festzustellen,</w:t>
      </w:r>
    </w:p>
    <w:p>
      <w:r>
        <w:t>dass die Beschwerde nach Art. 72 ff. BGG von vornherein unzulässig ist, soweit der Beschwerdeführer Anträge stellt und Rügen erhebt, die über den Gegenstand des obergerichtlichen Urteils vom 1. April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anhand dieser Erwägungen nach den gesetzlichen Anforderungen aufzeigt, inwiefern das Urteil des Obergerichts vom 1. April 2016 rechts- oder verfassungswidrig sein soll,</w:t>
      </w:r>
    </w:p>
    <w:p>
      <w:r>
        <w:t>dass somit auf die - offensichtlich unzulässige bzw. keine hinreichende Begründung enthaltende - Beschwerde in Anwendung von Art. 108 Abs. 1 lit. a und b BGG nicht einzutreten ist,</w:t>
      </w:r>
    </w:p>
    <w:p>
      <w:r>
        <w:t>dass keine Gerichtskosten zu erheben sind, dem Beschwerdeführer aber auch keine Parteientschädigung zuzusprechen 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Dem Beschwerdeführer wird keine Parteientschädigung zugesprochen.</w:t>
      </w:r>
    </w:p>
    <w:p>
      <w:r>
        <w:t>4.</w:t>
      </w:r>
    </w:p>
    <w:p>
      <w:r>
        <w:t>Dieses Urteil wird dem Beschwerdeführer, der Kindes- und Erwachsenenschutzbehörde U.________ und dem Obegericht des Kantons Zürich schriftlich mitgeteilt.</w:t>
      </w:r>
    </w:p>
    <w:p>
      <w:r>
        <w:t>Lausanne, 19. April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