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5A_286/2013 vom 12. Juni 2013</w:t>
      </w:r>
    </w:p>
    <w:p>
      <w:r>
        <w:t>Bundesgericht, 2013-06-12, FR</w:t>
      </w:r>
    </w:p>
    <w:p>
      <w:r>
        <w:rPr>
          <w:b/>
        </w:rPr>
        <w:t xml:space="preserve">Quelle: </w:t>
      </w:r>
      <w:r>
        <w:t>https://mcp.opencaselaw.ch/entscheid/bger_5A_286_2013</w:t>
      </w:r>
    </w:p>
    <w:p>
      <w:r>
        <w:t>FR: TF 5A_286/2013 du 12 juin 2013</w:t>
      </w:r>
    </w:p>
    <w:p>
      <w:r>
        <w:t>IT: TF 5A_286/2013 del 12 giugno 2013</w:t>
      </w:r>
    </w:p>
    <w:p>
      <w:pPr>
        <w:pStyle w:val="Heading2"/>
      </w:pPr>
      <w:r>
        <w:t>Erwägungen</w:t>
      </w:r>
    </w:p>
    <w:p>
      <w:r>
        <w:rPr>
          <w:b/>
        </w:rPr>
        <w:t>E. 1</w:t>
      </w:r>
    </w:p>
    <w:p>
      <w:r>
        <w:t>Le recours a été déposé en temps utile (art. 46 al. 1 let. a, 100 al. 1 LTF) contre une décision sur récusation ( art. 92 LTF ) rendue en matière civile ( art. 72 al. 1 LTF ) par une autorité cantonale de dernière instance ayant statué sur recours ( art. 75 al. 1 et 2 LTF ), dans une cause portant tant sur des questions financières que sur le sort d'un enfant et le droit de visite, à savoir sur une affaire non pécuniaire (arrêts 5A_848/2012 du 11 février 2013 consid. 1.1; 5A_366/2010 du 4 janvier 2011 consid. 1.1 et les références).</w:t>
      </w:r>
    </w:p>
    <w:p>
      <w:r>
        <w:rPr>
          <w:b/>
        </w:rPr>
        <w:t>E. 2</w:t>
      </w:r>
    </w:p>
    <w:p>
      <w:r>
        <w:t>Selon l' art. 47 al. 1 let . f CPC - applicable ici - les magistrats se récusent lorsqu'ils pourraient être prévenus de toute autre manière, notamment en raison d'un rapport d'inimitié avec une partie ou son représentant. Cette disposition concrétise les garanties découlant de l' art. 30 al. 1 Cst. - qui a, de ce point de vue, la même portée que l'art. 6 § 1 CEDH ( ATF 134 I 20 consid. 4.2) -, de sorte que la jurisprudence rendue en application de cette norme reste pertinente (arrêt 5A_722/2012 du 17 décembre 2012 et la citation).</w:t>
      </w:r>
    </w:p>
    <w:p>
      <w:r>
        <w:rPr>
          <w:b/>
        </w:rPr>
        <w:t>E. 2.1</w:t>
      </w:r>
    </w:p>
    <w:p>
      <w:r>
        <w:t>La garantie d'un juge indépendant et impartial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138 I 1 consid. 2.2; 138 IV 142 consid. 2.1 et les arrêts cités). 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 ATF 125 I 119 consid. 3e; 138 IV 142 consid. 2.3 et les arrêts cités). En outre, c'est aux juridictions de recours normalement compétentes qu'il appartient de constater et de redresser les erreurs éventuellement commises; le juge de la récusation ne saurait donc examiner la conduite du procès à la façon d'une instance d'appel ( ATF 116 Ia 135 consid. 3a; 114 Ia 158 consid. bb).</w:t>
      </w:r>
    </w:p>
    <w:p>
      <w:r>
        <w:rPr>
          <w:b/>
        </w:rPr>
        <w:t>E. 2.2</w:t>
      </w:r>
    </w:p>
    <w:p>
      <w:r>
        <w:t>L'autorité cantonale a considéré qu'il relevait du pouvoir d'appréciation de la magistrate en charge du dossier de décider d'entendre - à sa demande - l'enfant, et ce sans communiquer aux parties le procès-verbal d'audition puisque telle était la requête de leur fille. Il incombait ensuite à la magistrate de décider s'il convenait ou non de prendre des mesures superprovisionnelles, ce qu'elle a jugé nécessaire puisqu'elle a rendu à ce titre une ordonnance de retrait du droit de visite du père, sans entendre préalablement les parties, conformément à la nature de ces mesures ( art. 265 CPC ). Selon les juges précédents, il n'appartenait pas à l'autorité de récusation de vérifier le bien-fondé de cette décision, ni de celle refusant la requête de seconde expertise psychiatrique déposée par le mari. Il ne lui revenait pas non plus de prendre position sur les prétendues erreurs de fait évoquées par celui-ci concernant ses supposés problèmes d'alcool et l'analyse de sa situation financière, toute procédure dans laquelle les parties se disputent sur les faits nécessitant pour le magistrat de déterminer lesquels il entend retenir. Du reste, les griefs du mari n'étaient en rien étayés, de sorte qu'on ignorait tout des faits en question, qui relevaient du recours contre les décisions concernées.</w:t>
      </w:r>
    </w:p>
    <w:p>
      <w:r>
        <w:t>Si l'on pouvait concéder à l'intéressé que le délai de fixation de l'audience de mesures provisionnelles en mars 2013, soit trois mois après l'ordonnance de mesures superprovisionnelles, était trop long, il y avait lieu d'observer que celui-ci avait choisi de réagir à cette situation non pas en sollicitant immédiatement la fixation d'une audience plus rapidement, mais le remplacement de la magistrate en charge du dossier, par le truchement d'une requête de récusation. En somme, il cherchait à faire contrôler par l'autorité de récusation le bien-fondé des décisions de la juge intimée. Toutefois, rien ne donnait à penser que ces décisions fussent erronées, ni qu'en les prenant ladite magistrate eût adopté un comportement mettant en doute son impartialité dans cette affaire. Autrement dit, il n'était même pas démontré qu'il y eût erreur, partant erreur particulièrement lourde et grave. Le long délai de fixation de l'audience n'était pas un motif de récusation, même en tenant compte du contexte décrit par le mari. Le comportement de la magistrate en charge du dossier ne justifiait donc en rien sa récusation.</w:t>
      </w:r>
    </w:p>
    <w:p>
      <w:r>
        <w:rPr>
          <w:b/>
        </w:rPr>
        <w:t>E. 2.3</w:t>
      </w:r>
    </w:p>
    <w:p>
      <w:r>
        <w:t>Au regard des faits constatés par l'autorité précédente ( art. 105 al. 1 LTF ), dont le caractère manifestement inexact - à savoir arbitraire ( art. 97 al. 1 LTF , en relation avec l' art. 9 Cst. ; ATF 135 III 127 consid. 1.5) - n'est pas démontré ( art. 106 al. 2 LTF ; ATF 134 II 244 consid.2.2), la décision attaquée échappe à toute critique; on peut dès lors renvoyer pour l'essentiel aux motifs de la juridiction précédente. En particulier, le refus de communiquer au recourant le compte-rendu de l'entretien confidentiel qui s'est déroulé entre la magistrate et sa fille, quand bien même constituerait-il un vice de procédure, ne trahit en soi aucune prévention à l'endroit de l'intéressé. L'autorité cantonale a examiné chacun des indices qui, selon le recourant, étayeraient le soupçon de la partialité de la Présidente B.________. Au terme de son analyse, elle a considéré que l'ensemble des reproches allégués ne permettaient pas de douter objectivement de l'impartialité de la magistrate. Le recourant n'avance aucun argument qui permettrait de retenir que les violations alléguées - qui ne sont, par ailleurs, nullement avérées - ne puissent s'expliquer que par une prévention envers lui. Il se contente de soutenir, en substance, que depuis deux ans, la magistrate intimée rend des «décisions» prétendument erronées à son détriment, et que de nombreux éléments, qui ne relèvent pas de l'appréciation des preuves, démontrent l'inimitié de celle-ci à son égard. Or, quand bien même les actes en question seraient viciés, ils ne pourraient aucunement constituer des erreurs particulièrement lourdes et répétées au sens de la jurisprudence précitée (cf. supra, consid. 2.1).</w:t>
      </w:r>
    </w:p>
    <w:p>
      <w:r>
        <w:rPr>
          <w:b/>
        </w:rPr>
        <w:t>E. 3</w:t>
      </w:r>
    </w:p>
    <w:p>
      <w:r>
        <w:t>En conclusion, le recours apparaît mal fondé et doit par conséquent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