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5A_283/2022 vom 26. Januar 2023</w:t>
      </w:r>
    </w:p>
    <w:p>
      <w:r>
        <w:t>Bundesgericht, 2023-01-26, FR</w:t>
      </w:r>
    </w:p>
    <w:p>
      <w:r>
        <w:rPr>
          <w:b/>
        </w:rPr>
        <w:t xml:space="preserve">Quelle: </w:t>
      </w:r>
      <w:r>
        <w:t>https://mcp.opencaselaw.ch/entscheid/bger_5A_283_2022</w:t>
      </w:r>
    </w:p>
    <w:p>
      <w:r>
        <w:t>FR: TF 5A_283/2022 du 26 janvier 2023</w:t>
      </w:r>
    </w:p>
    <w:p>
      <w:r>
        <w:t>IT: TF 5A_283/2022 del 26 gennaio 2023</w:t>
      </w:r>
    </w:p>
    <w:p>
      <w:pPr>
        <w:pStyle w:val="Heading2"/>
      </w:pPr>
      <w:r>
        <w:t>Erwägungen</w:t>
      </w:r>
    </w:p>
    <w:p>
      <w:r>
        <w:rPr>
          <w:b/>
        </w:rPr>
        <w:t>E. 1</w:t>
      </w:r>
    </w:p>
    <w:p>
      <w:r>
        <w:t>Déposé en temps utile ( art. 100 al. 1 LTF ) et dans la forme légale ( art. 42 al. 1 LTF ) par une partie qui a qualité pour recourir ( art. 76 al. 1 let. a et b LTF ), le recours est dirigé contre une décision de divorce rendue sur recours par une autorité supérieure statuant en dernière instance cantonale ( art. 75 al. 1 et 2 LTF ), dans une affaire civile ( art. 72 al. 1 LTF ) de nature non pécuniaire dans son ensemble.</w:t>
      </w:r>
    </w:p>
    <w:p>
      <w:r>
        <w:t>En tant que la décision de divorce attaquée renvoie la cause à l'autorité de première instance pour instruction complémentaire au sens des considérants et nouvelle décision sur les modalités du droit de visite du père sur l'enfant C.A.________, il s'agit d'une décision incidente susceptible de causer un préjudice irréparable au sens de l' art. 93 al. 1 let. a LTF , dès lors que même une décision finale ultérieure favorable au recourant ne pourrait pas compenser rétroactivement l'exercice des prérogatives parentales dont il a été frustré (arrêts 5A_280/2022 du 18 août 2022 consid. 1; 5A_1017/2021 du 3 août 2022 consid. 1.2).</w:t>
      </w:r>
    </w:p>
    <w:p>
      <w:r>
        <w:t>Le recours est donc en principe recevable au regard des dispositions qui précèdent.</w:t>
      </w:r>
    </w:p>
    <w:p>
      <w:r>
        <w:rPr>
          <w:b/>
        </w:rPr>
        <w:t>E. 2.1</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145 IV 228 consid. 2.1; 144 III 462 consid. 3.2.3). Cela étant, eu égard à l'exigence de motivation contenue à l' art. 42 al. 2 LTF , il n'examine en principe que les griefs soulevés ( ATF 142 III 364 consid. 2.4). Le recourant doit par conséquent discuter les motifs de la décision entreprise et indiquer précisément en quoi l'autorité précédente a méconnu le droit ( ATF 142 I 99 consid. 1.7.1; 142 III 364 consid. 2.4). Le Tribunal fédéral ne connaît par ailleurs de la violation de droits fondamentaux que si un tel grief a été expressément invoqué et motivé de façon claire et détaillée (" principe d'allégation ", art. 106 al. 2 LTF ; ATF 147 I 73 consid. 2.1; 146 III 303 consid. 2).</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144 III 93 consid. 5.2.2), doit, sous peine d'irrecevabilité, satisfaire au principe d'allégation susmentionné ( art. 106 al. 2 LTF ; cf.</w:t>
      </w:r>
    </w:p>
    <w:p>
      <w:r>
        <w:t>supra consid. 2.1; ATF 147 I 73 consid. 2.2; 146 IV 88 consid. 1.3.1).</w:t>
      </w:r>
    </w:p>
    <w:p>
      <w:r>
        <w:rPr>
          <w:b/>
        </w:rPr>
        <w:t>E. 2.3</w:t>
      </w:r>
    </w:p>
    <w:p>
      <w:r>
        <w:t>Dans son mémoire, le recourant présente sur cinq pages une partie intitulée " Bref rappel des faits importants ". Cela étant, en tant que les faits qui y sont exposés s'écartent de ceux contenus dans l'arrêt attaqué, ils sont irrecevables, dès lors que le recourant ne démontre pas à satisfaction que, d'une part, leur établissement serait arbitraire ou qu'ils auraient été constatés en violation du droit au sens de l' art. 95 LTF et que, d'autre part, leur correction serait susceptible d'influer sur le sort de la cause. Pour le reste, et notamment sur la question du droit de visite, le recourant se plaint d'une appréciation erronée de plusieurs faits, mais présente une argumentation appellatoire qui ne satisfait pas aux conditions de motivation et qui est au surplus dénuée de toute référence à des allégations, actes ou moyens de preuve figurant au dossier cantonal. En ce qui concerne en particulier l'entretien convenable de l'enfant, le recourant conteste les charges de participation au loyer et de transports publics, ainsi que le montant des allocations familiales. Or, il ressort de l'arrêt entrepris que les sommes litigieuses avaient été retenues dans la décision de première instance déjà et le recourant ne soutient pas qu'il aurait fait valoir des griefs y relatifs en appel. Ainsi, l'intéressé ne respecte pas le principe de l'épuisement des griefs (cf. art. 75 al. 1 LTF ; ATF 146 III 203 consid. 3.3.4 et les références citées), étant précisé que ce principe s'applique tant lorsqu'une partie était partie recourante dans la procédure cantonale que lorsque - comme en l'espèce - elle était partie intimée (arrêts 5A_679/2019 du 5 juillet 2021 consid. 3.5; 5A_871/2020 du 15 février 2021 consid. 4). Il en va de même s'agissant du taux d'activité exigible de la mère, dès lors que, selon l'arrêt querellé, la décision de première instance retenait un taux d'activité de 23.75 % et relevait que la mère avait recherché sans succès depuis le début de la procédure un travail à 50 %, de sorte qu'il avait été renoncé à l'imputation d'un revenu hypothétique.</w:t>
      </w:r>
    </w:p>
    <w:p>
      <w:r>
        <w:t>Le recourant fait également grief à l'autorité cantonale d'avoir violé les art. 274 et 285 al. 1 CC , mais présente des motivations très succinctes qui ne remplissent pas non plus les exigences en la matière et qui s'appuient majoritairement sur des faits dont il ne parvient pas à démontrer qu'ils auraient été établis en violation du droit ou de manière arbitraire.</w:t>
      </w:r>
    </w:p>
    <w:p>
      <w:r>
        <w:t>Il découle de ce qui précède que, faute de motivation suffisante, les griefs sont irrecevables.</w:t>
      </w:r>
    </w:p>
    <w:p>
      <w:r>
        <w:rPr>
          <w:b/>
        </w:rPr>
        <w:t>E. 3</w:t>
      </w:r>
    </w:p>
    <w:p>
      <w:r>
        <w:t>En définitive, le présent recours doit être déclaré manifestement irrecevable, selon la procédure simplifiée de l' art. 108 al. 1 let. b LTF . Le recourant, qui succombe, doit prendre à sa charge les frais de justice ( art. 66 al. 1 LTF ), réduits à 1'000 fr. compte tenu de l'issue de la procédure. Il n'y a pas lieu d'allouer de dépens à l'intimée, qui n'a pas été invitée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