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283/2018 vom 5. April 2018</w:t>
      </w:r>
    </w:p>
    <w:p>
      <w:r>
        <w:t>Bundesgericht, 2018-04-05, DE</w:t>
      </w:r>
    </w:p>
    <w:p>
      <w:r>
        <w:rPr>
          <w:b/>
        </w:rPr>
        <w:t xml:space="preserve">Quelle: </w:t>
      </w:r>
      <w:r>
        <w:t>https://mcp.opencaselaw.ch/entscheid/bger_5A_283_2018</w:t>
      </w:r>
    </w:p>
    <w:p>
      <w:r>
        <w:t>FR: TF 5A 283/2018 du 5 avril 2018</w:t>
      </w:r>
    </w:p>
    <w:p>
      <w:r>
        <w:t>IT: TF 5A 283/2018 del 5 aprile 2018</w:t>
      </w:r>
    </w:p>
    <w:p>
      <w:pPr>
        <w:pStyle w:val="Heading2"/>
      </w:pPr>
      <w:r>
        <w:t>Regeste</w:t>
      </w:r>
    </w:p>
    <w:p>
      <w:r>
        <w:t>Definitive Rechtsöffnung | Schuldbetreibungs- und Konkursrecht</w:t>
      </w:r>
    </w:p>
    <w:p>
      <w:pPr>
        <w:pStyle w:val="Heading2"/>
      </w:pPr>
      <w:r>
        <w:t>Erwägungen</w:t>
      </w:r>
    </w:p>
    <w:p>
      <w:r>
        <w:rPr>
          <w:b/>
        </w:rPr>
        <w:t>E. 1</w:t>
      </w:r>
    </w:p>
    <w:p>
      <w:r>
        <w:t>Mit Verfügung vom 22. Januar 2018 erteilte das Kantonsgericht Schaffhausen der Beschwerdegegnerin gegenüber der Beschwerdeführerin in der Betreibung Nr. xxx des Betreibungsamts Schaffhausen definitive Rechtsöffnung für Fr. 186'291.25 nebst Zins und Kosten. Gegen diese Verfügung erhob die Beschwerdeführerin am 2. Februar 2018 Beschwerde an das Obergericht des Kantons Schaffhausen. Mit Entscheid vom 27. Februar 2018 trat das Obergericht auf die Beschwerde mangels genügender Begründung nicht ein. Das Gesuch um unentgeltliche Rechtspflege wies es infolge Aussichtslosigkeit der Beschwerde ab. Gegen diesen Entscheid hat die Beschwerdeführerin am 29. März 2018 (Postaufgabe) Beschwerde an das Bundesgericht erhoben.</w:t>
      </w:r>
    </w:p>
    <w:p>
      <w:r>
        <w:rPr>
          <w:b/>
        </w:rPr>
        <w:t>E. 2</w:t>
      </w:r>
    </w:p>
    <w:p>
      <w:r>
        <w:t>Gegen den angefochtenen Rechtsöffnungsentscheid steht die Beschwerde in Zivilsachen grundsätzlich zur Verfügung ( Art. 72 Abs. 2 lit. a, Art. 74 Abs. 1 lit. b, Art. 75, Art. 90 BGG ).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Die Beschwerdeführerin setzt sich nicht damit auseinander, dass sie vor Obergericht den Begründungsanforderungen nicht genügt hat. Stattdessen schildert sie den Sachverhalt aus eigener Sicht, bringt vor, dass sie über die Vorgänge nicht informiert worden sei, und macht - wie bereits vor Obergericht - sinngemäss geltend, dass es sich um Schulden ihres Ex-Ehemannes handle. Damit legt die Beschwerdeführerin nicht ansatzweise dar, inwiefern das Obergericht Recht verletzt haben soll. Die Beschwerde enthält offensichtlich keine hinreichende Begründung. Darauf ist im vereinfachten Verfahren gemäss Art. 108 Abs. 1 lit. b BGG durch das präsidierende Mitglied der Abteilung nicht einzutreten.</w:t>
      </w:r>
    </w:p>
    <w:p>
      <w:r>
        <w:rPr>
          <w:b/>
        </w:rPr>
        <w:t>E. 4</w:t>
      </w:r>
    </w:p>
    <w:p>
      <w:r>
        <w:t>Bei diesem Ausgang des Verfahrens trägt die Beschwerdeführerin die Gerichtskosten ( Art. 66 Abs. 1 BGG ). Wie die vorstehenden Erwägungen zeigen, war die Beschwerde von Anfang an aussichtslos. Das Gesuch um unentgeltliche Rechtspflege ist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