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283/2017 vom 12. April 2017</w:t>
      </w:r>
    </w:p>
    <w:p>
      <w:r>
        <w:t>Bundesgericht, 2017-04-12, DE</w:t>
      </w:r>
    </w:p>
    <w:p>
      <w:r>
        <w:rPr>
          <w:b/>
        </w:rPr>
        <w:t xml:space="preserve">Quelle: </w:t>
      </w:r>
      <w:r>
        <w:t>https://mcp.opencaselaw.ch/entscheid/bger_5A_283_2017</w:t>
      </w:r>
    </w:p>
    <w:p>
      <w:r>
        <w:t>FR: TF 5A 283/2017 du 12 avril 2017</w:t>
      </w:r>
    </w:p>
    <w:p>
      <w:r>
        <w:t>IT: TF 5A 283/2017 del 12 aprile 2017</w:t>
      </w:r>
    </w:p>
    <w:p>
      <w:pPr>
        <w:pStyle w:val="Heading2"/>
      </w:pPr>
      <w:r>
        <w:t>Regeste</w:t>
      </w:r>
    </w:p>
    <w:p>
      <w:r>
        <w:t>Beistandschaft | Familienrecht</w:t>
      </w:r>
    </w:p>
    <w:p>
      <w:pPr>
        <w:pStyle w:val="Heading2"/>
      </w:pPr>
      <w:r>
        <w:t>Erwägungen</w:t>
      </w:r>
    </w:p>
    <w:p>
      <w:r>
        <w:rPr>
          <w:b/>
        </w:rPr>
        <w:t>E. 1</w:t>
      </w:r>
    </w:p>
    <w:p>
      <w:r>
        <w:t>Angefochten ist ein kantonal letztinstanzlicher Entscheid im Bereich des Erwachsenenschutzes (Art. 72 Abs. 2 lit. b Ziff. 6 und Art. 75 Abs. 1 BGG ).</w:t>
      </w:r>
    </w:p>
    <w:p>
      <w:r>
        <w:rPr>
          <w:b/>
        </w:rPr>
        <w:t>E. 2</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Beschwerde enthält keine Anträge; aus dem Satz "Ich brauche keinen Beistand" geht aber hervor, dass die Beschwerdeführerin die Aufhebung der Vertretungsbeistandschaft wünscht. Zur Begründung hält sie einzig fest, ihre jetzige Wohnung selbständig gefunden und den Umzug organisiert zu haben und die administrativen Angelegenheiten selber zu erledigen, wobei sie nötigenfalls Hilfe von ihrem Sohn erhalte. Dies ist jedoch keine hinreichende Auseinandersetzung mit der obergerichtlichen Begründung, weshalb nach wie vor ein Schwächezustand vorliegt, nämlich weil mangels Mitwirkung der Beschwerdeführerin die freiwillige Hilfestellung nicht garantiert werden kann und sie sich finanziell zu schädigen droht, wobei es hauptsächlich um sozialversicherungsrechtliche Ansprüche geht. Sie habe die Mietzinsen nicht vollständig bezahlt, den Wechsel zu einer günstigeren Grundversicherung unterlassen und die Geltendmachung der Ansprüche auf Ergänzungsleistungen seien mangels Kooperation mühsam geltend zu machen, weil die Beschwerdeführerin stattdessen auf einer SUVA-Rente beharre, obwohl das Verwaltungsgericht mit Entscheid vom 13. Januar 2010 den Anspruch rechtskräftig abgewiesen habe. Mit der gleichen Begründung habe sie auch Geld beim Sozialversicherungszentrum zurückbringen wollen. Zudem habe sie neulich auf das Alimenteninkasso gegenüber ihrem früheren Ehemann verzichtet, welcher bis zum Eintritt ins ordentliche Rentenalter zu monatlichen Zahlungen von Fr. 1'000.-- verpflichtet wäre, so dass jetzt die Ergänzungsleistungen gefährdet seien. Ohne eine amtsgebundene Massnahme könne die fachliche Unterstützung nicht sichergestellt werden.</w:t>
      </w:r>
    </w:p>
    <w:p>
      <w:r>
        <w:rPr>
          <w:b/>
        </w:rPr>
        <w:t>E. 3</w:t>
      </w:r>
    </w:p>
    <w:p>
      <w:r>
        <w:t>Nach dem Gesagten bleibt die Beschwerde offensichtlich unbegründet, weshalb auf sie nicht einzutreten ist und der Präsident im vereinfachten Verfahren entscheidet ( Art. 108 Abs. 1 lit. b BGG ).</w:t>
      </w:r>
    </w:p>
    <w:p>
      <w:r>
        <w:rPr>
          <w:b/>
        </w:rPr>
        <w:t>E. 4</w:t>
      </w:r>
    </w:p>
    <w:p>
      <w:r>
        <w:t>Angesichts der konkreten Umstände rechtfertigt es sich, auf eine Kostenerhebung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