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5A_282/2015 vom 10. April 2015</w:t>
      </w:r>
    </w:p>
    <w:p>
      <w:r>
        <w:t>Bundesgericht, 2015-04-10, DE</w:t>
      </w:r>
    </w:p>
    <w:p>
      <w:r>
        <w:rPr>
          <w:b/>
        </w:rPr>
        <w:t xml:space="preserve">Quelle: </w:t>
      </w:r>
      <w:r>
        <w:t>https://mcp.opencaselaw.ch/entscheid/bger_5A_282_2015</w:t>
      </w:r>
    </w:p>
    <w:p>
      <w:r>
        <w:t>FR: TF 5A_282/2015 du 10 avril 2015</w:t>
      </w:r>
    </w:p>
    <w:p>
      <w:r>
        <w:t>IT: TF 5A_282/2015 del 10 aprile 2015</w:t>
      </w:r>
    </w:p>
    <w:p>
      <w:pPr>
        <w:pStyle w:val="Heading2"/>
      </w:pPr>
      <w:r>
        <w:t>Volltext</w:t>
      </w:r>
    </w:p>
    <w:p>
      <w:r>
        <w:t>Bundesgericht</w:t>
      </w:r>
    </w:p>
    <w:p>
      <w:r>
        <w:t>Tribunal fédéral</w:t>
      </w:r>
    </w:p>
    <w:p>
      <w:r>
        <w:t>Tribunale federale</w:t>
      </w:r>
    </w:p>
    <w:p>
      <w:r>
        <w:t>Tribunal federal</w:t>
      </w:r>
    </w:p>
    <w:p>
      <w:r>
        <w:t>{T 0/2}</w:t>
      </w:r>
    </w:p>
    <w:p>
      <w:r>
        <w:t>5A_282/2015</w:t>
      </w:r>
    </w:p>
    <w:p>
      <w:r>
        <w:t>Urteil vom 10. April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Kindes- und Erwachsenenschutzbehörde U.________.</w:t>
      </w:r>
    </w:p>
    <w:p>
      <w:r>
        <w:t>Gegenstand</w:t>
      </w:r>
    </w:p>
    <w:p>
      <w:r>
        <w:t>Aufhebung des Aufenthaltsbestimmungsrechts, Platzierung,</w:t>
      </w:r>
    </w:p>
    <w:p>
      <w:r>
        <w:t>Beschwerde nach Art. 72 ff. BGG gegen den Entscheid vom 20. Februar 2015 des Obergerichts des Kantons Bern (Zivilabteilung, Kindes- und Erwachsenenschutzgericht).</w:t>
      </w:r>
    </w:p>
    <w:p>
      <w:r>
        <w:t>Nach Einsicht</w:t>
      </w:r>
    </w:p>
    <w:p>
      <w:r>
        <w:t>in die Beschwerde gemäss Art. 72 ff. BGG gegen den Entscheid vom 20. Februar 2015 des Obergerichts des Kantons Bern, das eine Beschwerde der Beschwerdeführerin gegen die definitive Aufhebung ihres Aufenthaltsbestimmungsrechts über die 2014 geborene Tochter B.________ sowie deren Platzierung im Kinderhaus C.________ abgewiesen hat,</w:t>
      </w:r>
    </w:p>
    <w:p>
      <w:r>
        <w:t>in Erwägung,</w:t>
      </w:r>
    </w:p>
    <w:p>
      <w:r>
        <w:t>dass das Obergericht erwog, die Beschwerdeführerin sei trotz ordnungsgemässer Vorladung an der Verhandlung unentschuldigt nicht erschienen, der Entzug des Aufenthaltsbestimmungsrechts sei nach wie vor gerechtfertigt, die dafür vorausgesetzte schwerwiegende Kindeswohlgefährung liege vor ( Art. 310 Abs. 1 ZGB ), die (gemäss psychiatrischer Einschätzung an einer schwerwiegenden psychischen Krankheit bzw. Beeinträchtigung leidende) Beschwerdeführerin verfüge über keinen festen Wohnsitz und verweigere jede Auskunft über ihren Aufenthalt, ausserdem lasse sie sich auf praktisch keine Zusammenarbeit mit den Behörden ein, weder sei der Kindsvater bekannt noch erhalte die (keiner geregelten Arbeit nachgehende) Beschwerdeführerin finanzielle Sozialhilfe von einer Gemeinde, die Mittel zur Bestreitung des Lebensunterhalts seien nicht ersichtlich, mangels Kooperationsbereitschaft falle die gemeinsame Unterbringung in einer Mutter-Kind-Institution ausser Betracht, das Kinderhaus C.________ stelle eine geeignete Einrichtung dar, zumal die Beschwerdeführerin ihre Tochter dort viermal pro Woche während mehreren Stunden besuche,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auf die obergerichtlichen Erwägungen eingeht,</w:t>
      </w:r>
    </w:p>
    <w:p>
      <w:r>
        <w:t>dass sie erst recht nicht nach den gesetzlichen Anforderungen anhand dieser Erwägungen aufzeigt, inwiefern der Entscheid des Obergerichts vom 20. Februar 2015 rechts- oder verfassungswidrig sein soll,</w:t>
      </w:r>
    </w:p>
    <w:p>
      <w:r>
        <w:t>dass somit auf die - offensichtlich keine hinreichende Begründung enthaltende - Beschwerde in Anwendung von Art. 108 Abs. 1 lit. b BGG nicht einzutreten ist,</w:t>
      </w:r>
    </w:p>
    <w:p>
      <w:r>
        <w:t>dass keine Gerichtskosten erhoben werden,</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der Kindes- und Erwachsenenschutzbehörde U.________, der Beiständin der Tochter (D.________) und dem Obergericht des Kantons Bern schriftlich mitgeteilt.</w:t>
      </w:r>
    </w:p>
    <w:p>
      <w:r>
        <w:t>Lausanne, 10. April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