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5A_282/2011 vom 23. Juni 2011</w:t>
      </w:r>
    </w:p>
    <w:p>
      <w:r>
        <w:t>Bundesgericht, 2011-06-23, DE</w:t>
      </w:r>
    </w:p>
    <w:p>
      <w:r>
        <w:rPr>
          <w:b/>
        </w:rPr>
        <w:t xml:space="preserve">Quelle: </w:t>
      </w:r>
      <w:r>
        <w:t>https://mcp.opencaselaw.ch/entscheid/bger_5A_282_2011</w:t>
      </w:r>
    </w:p>
    <w:p>
      <w:r>
        <w:t>FR: TF 5A_282/2011 du 23 juin 2011</w:t>
      </w:r>
    </w:p>
    <w:p>
      <w:r>
        <w:t>IT: TF 5A_282/2011 del 23 giugno 2011</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Anders verhält es sich einzig dann, wenn der unteren Instanz, an welche zurückgewiesen wird, kein Entscheidungsspielraum mehr verbleibt und die Rückweisung nur noch der Umsetzung des oberinstanzlich Angeordneten dient ( BGE 135 V 141 E. 1.1 S. 143 mit Hinweisen).</w:t>
      </w:r>
    </w:p>
    <w:p>
      <w:r>
        <w:rPr>
          <w:b/>
        </w:rPr>
        <w:t>E. 1.2</w:t>
      </w:r>
    </w:p>
    <w:p>
      <w:r>
        <w:t>Das Obergericht hat die Beschwerde teilweise gutgeheissen und die Angelegenheit an das Betreibungsamt C.________ zurückgewiesen, damit dieses im Sinne der Erwägungen und unter Berücksichtigung der aktuellsten Belege die pfändbare Quote neu berechne. Das Betreibungsamt hat somit nicht bloss das vom Obergericht Angeordnete umzusetzen, sondern selber Sachverhaltsabklärungen vorzunehmen und die allenfalls dereinst vorgelegten Belege in tatsächlicher und rechtlicher Hinsicht zu würdigen. Dem Betreibungsamt verbleibt damit Entscheidungsspielraum. Daran ändert nichts, dass das Obergericht bereits gewisse Rechtsfragen für das Betreibungsamt verbindlich beantwortet hat (Urteil 2C_258/2008 vom 27. März 2009 E. 3.3, in: StE 2009 B 96.21 Nr. 14; Urteil 5A_704/2010 vom 5. November 2010 E. 1.2). Dies gilt insbesondere für die vom Beschwerdeführer einzig aufgegriffene Frage, ob bei einer Lohnpfändung eines Schuldners, der zusammen mit seiner Lebenspartnerin und einem gemeinsamen Kind im Konkubinat lebt, der Beitrag, welcher zulasten der Lebenspartnerin an die Kosten des gemeinsamen Haushalts berücksichtigt wird, deren Hälfte übersteigen dürfe. Eine sofortige Beurteilung dieser Frage würde dem Ziel entgegenlaufen, dass jede Rechtssache möglichst nur einmal vor das Bundesgericht getragen werden soll ( BGE 134 III 188 E. 2.2 S. 191 mit Hinweis). Zudem ist denkbar, dass wegen der zusätzlichen Sachverhaltsabklärungen neue Rechtsfragen auftreten oder die vom Obergericht bereits beantwortete Frage für das Verfahren gar nicht mehr erheblich ist. Das Bundesgericht soll aber nicht Gefahr laufen, Rechtsfragen zu beantworten, die sich im weiteren Verfahrensverlauf als theoretisch herausstellen. Nicht umstritten sind vor Bundesgericht im Übrigen die teilweise Gegenstandsloserklärung und das Nichteintreten mit Weiterleitung der Akten an das Betreibungsamt. Es braucht deshalb nicht entschieden zu werden, wie diese Entscheidteile zu qualifizieren wären. Der angefochtene Entscheid ist somit ein Zwischenentscheid, der nur unter den Voraussetzungen von Art. 92 f. BGG angefochten werden kann.</w:t>
      </w:r>
    </w:p>
    <w:p>
      <w:r>
        <w:rPr>
          <w:b/>
        </w:rPr>
        <w:t>E. 1.3</w:t>
      </w:r>
    </w:p>
    <w:p>
      <w:r>
        <w:t>Nachdem kein Anwendungsfall von Art. 92 BGG vorliegt, müsste der Beschwerdeführer dartun, dass die Voraussetzungen von Art. 93 Abs. 1 lit. a oder lit. b BGG erfüllt sind, soweit sie nicht offensichtlich vorliegen ( BGE 134 III 426 E. 1.2 S. 429; 133 III 629 E. 2.3.1 S. 632 und E. 2.4.2 S. 633; je mit Hinweisen). Der Beschwerdeführer äussert sich zu diesem Punkt jedoch nicht. Es ist auch nicht offensichtlich, dass der angefochtene Entscheid einen nicht wieder gutzumachenden Nachteil rechtlicher Natur ( BGE 134 III 188 E. 2.1 S. 190 f. mit Hinweisen) bewirken könnte oder dass die Gutheissung der Beschwerde sofort einen Endentscheid herbeiführen und damit einen bedeutenden Aufwand an Zeit oder Kosten für ein weitläufiges Beweisverfahren ersparen würde. Auf die Beschwerde kann somit nicht eingetreten werden.</w:t>
      </w:r>
    </w:p>
    <w:p>
      <w:r>
        <w:rPr>
          <w:b/>
        </w:rPr>
        <w:t>E. 1.4</w:t>
      </w:r>
    </w:p>
    <w:p>
      <w:r>
        <w:t>Folglich vermag offenzubleiben, ob die vage gehaltenen Anträge überhaupt den Anforderungen von Art. 42 Abs. 1 BGG genügen (vgl. zum Antragserfordernis im Zusammenhang mit der Bestimmung des Existenzminimums Urteil 5A_413/2010 vom 14. Oktober 2010 E. 1.3 mit Hinweisen).</w:t>
      </w:r>
    </w:p>
    <w:p>
      <w:r>
        <w:rPr>
          <w:b/>
        </w:rPr>
        <w:t>E. 2</w:t>
      </w:r>
    </w:p>
    <w:p>
      <w:r>
        <w:t>Bei diesem Ausgang des Verfahrens wird der Beschwerdeführer kostenpflichtig ( Art. 66 Abs. 1 BGG ). Sein Gesuch um unentgeltliche Rechtspflege ist abzuweisen, da die Beschwerde nach dem Gesagten von vornherein aussichtslos gewesen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