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280/2022 vom 18. August 2022</w:t>
      </w:r>
    </w:p>
    <w:p>
      <w:r>
        <w:t>Bundesgericht, 2022-08-18, FR</w:t>
      </w:r>
    </w:p>
    <w:p>
      <w:r>
        <w:rPr>
          <w:b/>
        </w:rPr>
        <w:t xml:space="preserve">Quelle: </w:t>
      </w:r>
      <w:r>
        <w:t>https://mcp.opencaselaw.ch/entscheid/bger_5A_280_2022</w:t>
      </w:r>
    </w:p>
    <w:p>
      <w:r>
        <w:t>FR: TF 5A 280/2022 du 18 août 2022</w:t>
      </w:r>
    </w:p>
    <w:p>
      <w:r>
        <w:t>IT: TF 5A 280/2022 del 18 agosto 2022</w:t>
      </w:r>
    </w:p>
    <w:p>
      <w:pPr>
        <w:pStyle w:val="Heading2"/>
      </w:pPr>
      <w:r>
        <w:t>Regeste</w:t>
      </w:r>
    </w:p>
    <w:p>
      <w:r>
        <w:t>mesures provisionnelles (droit aux relations personnelles)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sur recours par une autorité supérieure statuant en dernière instance cantonale ( art. 75 al. 1 et 2 LTF ) et prise dans une affaire non pécuniaire dans le domaine de la protection de l'enfant, à savoir une décision incidente rendue en application de normes de droit public dans une matière connexe au droit civil, sujette au recours en matière civile (art. 72 al. 2 let. b. ch. 6 LTF). En tant que la décision attaquée tranche provisoirement la question du droit aux relations personnelles avec une enfant née hors mariage, il s'agit d'une décision incidente de nature à causer un préjudice irréparable au sens de l' art. 93 al. 1 let. a LTF , dès lors que même une décision finale ultérieure favorable au recourant ne pourrait pas compenser rétroactivement l'exercice des prérogatives parentales dont il a été frustré (arrêts 5A_312/2021 du 2 novembre 2021 consid. 1; 5A_640/2020 du 25 mars 2021 consid. 1.2). Le recours en matière civile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3</w:t>
      </w:r>
    </w:p>
    <w:p>
      <w:r>
        <w:t>Dans un passage de son mémoire intitulé " Introduction ", le recourant indique présenter le droit international et le droit fédéral en vigueur en matière de protection de l'enfant. Il n'en invoque et n'en motive toutefois pas la violation, de sorte que le passage concerné n'a pas à être discuté.</w:t>
      </w:r>
    </w:p>
    <w:p>
      <w:r>
        <w:rPr>
          <w:b/>
        </w:rPr>
        <w:t>E. 4</w:t>
      </w:r>
    </w:p>
    <w:p>
      <w:r>
        <w:t>Le recourant se plaint de la violation de son droit d'être entendu ( art. 29 al. 2 Cst. ) et soutient que les autorités n'auraient pas retenu les " faits faux " de l'expertise pédopsychiatrique diligentée par le Dr D.________. Ce dernier n'aurait par ailleurs " pas tenu d'entretien avec [s]on avocat, car [il] n'[a] pas d'avocat et d'aide judiciaire par erreur de compte bancaire par la chambre des curatelles " ( sic ). Pour autant encore qu'elle soit compréhensible, cette motivation ne répond manifestement pas aux exigences de motivation susexposées, de sorte que le grief est d'emblée irrecevable.</w:t>
      </w:r>
    </w:p>
    <w:p>
      <w:r>
        <w:rPr>
          <w:b/>
        </w:rPr>
        <w:t>E. 5</w:t>
      </w:r>
    </w:p>
    <w:p>
      <w:r>
        <w:t>Se référant à l' art. 274 al. 2 CC , le recourant conteste les modalités d'exercice de son droit de visite.</w:t>
      </w:r>
    </w:p>
    <w:p>
      <w:r>
        <w:rPr>
          <w:b/>
        </w:rPr>
        <w:t>E. 5.1</w:t>
      </w:r>
    </w:p>
    <w:p>
      <w:r>
        <w:t>L'intéressé aborde tout d'abord la question du droit de visite au Point Rencontre. A cet égard, il fait notamment valoir qu'il serait impossible pour un parent de construire une véritable relation quatre heures par mois et que la durée et les fréquences de visite ne seraient pas adaptées aux enfants en bas âge. Il se plaint en outre de la violation des maximes d'office et inquisitoire et soutient que les autorités cantonales auraient dû recueillir les éléments factuels supplémentaires nécessaires et procéder dans l'intérêt supérieur de l'enfant. Selon lui, les autorités ne pouvaient pas ignorer la mauvaise acclimatation de sa fille au Point Rencontre, qui ne serait pas adapté à la petite enfance. Le recourant traite en outre les questions de la " validité " de la limitation de son droit de visite et d'une prétendue atteinte à son droit à la famille, sous l'angle de l' art. 8 CEDH , en faisant notamment valoir qu'un enfant en bas âge aurait besoin d'un droit de visite beaucoup plus fréquent et que les nuitées devraient également être incluses beaucoup plus rapidement pour le développement d'une relation père-enfant étroite. Le recourant discute également le " droit de proportionnalité " ainsi que le " risque de perte de lien " et soulève la violation des art. 8 CEDH , 5, 7, 8 et 18 CDE, ainsi que de l' art. 261 al. 1 CPC . Il soutient encore que " le point de départ de mesure [ sic ] ne représente pas la normale, mais le minimum " et se plaint d' " éléments retenus pour le maintien de la mesure dénués de pertinence ", en s'en prenant à un certificat établi le 21 juillet 2020 par une pédiatre, au rapport de la DGEJ ainsi qu'à l'expertise pédopsychiatrique du Dr D.________, et en se plaignant de la violation de l' art. 189 CPC et de l' art. 9 Cst. Finalement, le recourant aborde les questions de la " filiation tardive " et du " conflit parental ", dans la discussion duquel il se réfère aux art. 272 et 274 CC , 12 et 29 let. a et d CDE, ainsi que 6, 8 et 14 CEDH. En substance, l'argumentation du recourant s'articule principalement autour du fait que le droit de visite restreint qui lui a été accordé serait néfaste pour un enfant en bas âge et qu'il empêcherait le développement d'une relation père-enfant. Le recourant se livre toutefois principalement à des considérations générales et abstraites, sans expliquer en quoi, compte tenu des circonstances particulières du cas d'espèce, l'autorité cantonale aurait violé des droits constitutionnels au sens de l' art. 98 LTF en arrêtant les modalités de visite prévues dans l'arrêt querellé. Le recourant présente en outre une argumentation purement appellatoire, qui manque singulièrement de structure et de clarté et qui tient à peine compte de la motivation de l'arrêt entrepris. Le recourant se contente ainsi de livrer sa version des faits, sans expliquer en quoi ceux-ci auraient été arbitrairement omis de l'arrêt attaqué, et se limite à substituer son appréciation à celle de l'autorité cantonale. Il invoque de surcroît la violation de nombreuses dispositions du droit international, sans motiver de manière détaillée en quoi elles concerneraient des droits fondamentaux que la cour cantonale aurait violés. Il s'ensuit que, pour autant encore que recevable, le grief doit être rejeté.</w:t>
      </w:r>
    </w:p>
    <w:p>
      <w:r>
        <w:rPr>
          <w:b/>
        </w:rPr>
        <w:t>E. 6</w:t>
      </w:r>
    </w:p>
    <w:p>
      <w:r>
        <w:t>Dans un grief intitulé " aide appropriée aux parents ", le recourant commence par se référer à l'institution d'une curatelle, avant d'invoquer la violation des art. 272 et 275a CC et de digresser sur la base de considérations étrangères à cette mesure, à savoir notamment que le conseil de l'intimée aurait " dicté " des recommandations à la garderie avant son entretien, que les autorités cantonales n'auraient pas retenu que la mère de l'enfant n'aurait fait que " cacher son passé psychiatrique " ou encore qu'il aurait été traité de diffamateur par le conseil de celle-ci. Le recourant se plaint par la suite de la réduction " de moitié " de son droit de visite, ce qui n'est pas non plus en relation avec l'institution d'une curatelle, et invoque la violation de l' art. 18 CDE ainsi que l'absence d'informations au sujet " des constats effectués et des mesures prises ". Outre le fait qu'elle manque sa cible, l'argumentation du recourant est purement appellatoire et ne répond pas aux exigences de motivation suspexposées. Le recourant ne se plaint au demeurant pas de la violation arbitraire des art. 272 et 275a CC , ce qui rend également irrecevables les critiques y relatives (cf. supra consid. 2.1).</w:t>
      </w:r>
    </w:p>
    <w:p>
      <w:r>
        <w:rPr>
          <w:b/>
        </w:rPr>
        <w:t>E. 7</w:t>
      </w:r>
    </w:p>
    <w:p>
      <w:r>
        <w:t>En définitive, le recours est rejeté dans la mesure où il est recevable. Le recours étant d'emblée voué à l'échec, la requête d'assistance judiciaire du recourant ne saurait être agréée ( art. 64 al. 1 LTF ).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