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5A_27/2023 vom 21. März 2023</w:t>
      </w:r>
    </w:p>
    <w:p>
      <w:r>
        <w:t>Bundesgericht, 2023-03-21, FR</w:t>
      </w:r>
    </w:p>
    <w:p>
      <w:r>
        <w:rPr>
          <w:b/>
        </w:rPr>
        <w:t xml:space="preserve">Quelle: </w:t>
      </w:r>
      <w:r>
        <w:t>https://mcp.opencaselaw.ch/entscheid/bger_5A_27_2023</w:t>
      </w:r>
    </w:p>
    <w:p>
      <w:r>
        <w:t>FR: TF 5A_27/2023 du 21 mars 2023</w:t>
      </w:r>
    </w:p>
    <w:p>
      <w:r>
        <w:t>IT: TF 5A_27/2023 del 21 marzo 2023</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 recourant, qui a été débouté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se plaint de la violation de l' art. 9 Cst. dans l'application de l' art. 12 let . c LLCA ainsi que dans l'établissement des faits constitutifs de cette disposition.</w:t>
      </w:r>
    </w:p>
    <w:p>
      <w:r>
        <w:rPr>
          <w:b/>
        </w:rPr>
        <w:t>E. 3.1</w:t>
      </w:r>
    </w:p>
    <w:p>
      <w:r>
        <w:t>L'autorité cantonale a jugé que les faits qui fondaient la procédure pendante devant elle - à savoir une procédure de séquestre fondée sur une sentence arbitrale rendue entre les parties concernant l'obligation de rachat par le recourant d'actions détenues par l'intimée - ne concernaient ni les sociétés C.________ SA, F.________ SA et G.________ SA, ni les anciens membres des conseils d'administration de ces sociétés, de sorte que l'on peinait à voir quels seraient les conflits d'intérêts. Par ailleurs, quand bien même les conseils de l'intimée défendraient ou auraient défendu les intérêts des personnes précitées, l'on ne discernait pas dans quelle mesure une telle situation leur permettrait d'utiliser, dans le cadre de la procédure en cours, des informations obtenues à l'occasion d'éventuels autres mandats et les placerait dans un conflit d'intérêts. L'autorité cantonale a conclu que c'était donc à raison que le premier juge avait considéré, par une appréciation anticipée des preuves, que la production du courriel d'une ancienne membre du conseil d'administration du Groupe E.________ n'était pas pertinente pour l'issue du litige et qu'il avait rejeté les conclusions en interdiction de postuler du recourant.</w:t>
      </w:r>
    </w:p>
    <w:p>
      <w:r>
        <w:t>Par conséquent, l'autorité cantonale a également rejeté les requêtes en production de cette pièce et en interdiction de postuler formées à titre préalable par le recourant devant elle.</w:t>
      </w:r>
    </w:p>
    <w:p>
      <w:r>
        <w:rPr>
          <w:b/>
        </w:rPr>
        <w:t>E. 3.2</w:t>
      </w:r>
    </w:p>
    <w:p>
      <w:r>
        <w:t>En l'espèce, le recourant ne démontre pas l'arbitraire de la motivation précitée. Il se prévaut d'un potentiel conflit d'intérêts qui ne le concerne pas et qui est sans aucune influence sur sa propre situation dans la présente procédure. En effet, il se fonde sur le fait que les avocats de l'intimée assumaient également la représentation des anciens membres des conseils d'administration des sociétés qui représentaient l'intimée, ainsi que celle de ces sociétés elles-mêmes. Il ne dénonce ainsi qu'un éventuel conflit d'intérêts qui existerait aux dépens de l'intimée et d'autres mandants que les avocats de l'intimée auraient également représentés.</w:t>
      </w:r>
    </w:p>
    <w:p>
      <w:r>
        <w:t>Or, le principe énoncé à l' art. 12 let . c LLCA, dont découle l'interdiction de postuler,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Les règles susmentionnées visent avant tout à protéger les intérêts des clients de l'avocat, en leur garantissant une défense exempte de conflit d'intérêts. Elles tendent également à garantir la bonne marche de la procédure en cause, notamment en évitant qu'un mandataire puisse utiliser les connaissances d'une partie adverse, acquises lors d'un mandat antérieur, au détriment de celle-ci ( ATF 145 IV 218 consid. 2.1 et les références; arrêt 1B_52/2022 du 19 mai 2022 consid. 2.1.2).</w:t>
      </w:r>
    </w:p>
    <w:p>
      <w:r>
        <w:t>Il suit de là que le grief d'arbitraire ( art. 9 Cst. ) dans l'application de l' art. 12 let . c LLCA et dans l'appréciation des preuves en lien avec la production d'une pièce visant à démontrer un conflit d'intérêts doit être rejeté, dans la mesure de sa recevabilité.</w:t>
      </w:r>
    </w:p>
    <w:p>
      <w:r>
        <w:rPr>
          <w:b/>
        </w:rPr>
        <w:t>E. 4</w:t>
      </w:r>
    </w:p>
    <w:p>
      <w:r>
        <w:t>En définitive, le recours est rejeté, dans la mesure de sa recevabilité. La requête d'assistance judiciaire est rejetée, faute de chance de succès du recours ( art. 64 al. 1 LTF ). Les frais judiciaires, arrêtés à 1'000 fr., sont mis à la charge du recourant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