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5A_279/2023 vom 9. Juni 2023</w:t>
      </w:r>
    </w:p>
    <w:p>
      <w:r>
        <w:t>Bundesgericht, 2023-06-09, FR</w:t>
      </w:r>
    </w:p>
    <w:p>
      <w:r>
        <w:rPr>
          <w:b/>
        </w:rPr>
        <w:t xml:space="preserve">Quelle: </w:t>
      </w:r>
      <w:r>
        <w:t>https://mcp.opencaselaw.ch/entscheid/bger_5A_279_2023</w:t>
      </w:r>
    </w:p>
    <w:p>
      <w:r>
        <w:t>FR: TF 5A_279/2023 du 9 juin 2023</w:t>
      </w:r>
    </w:p>
    <w:p>
      <w:r>
        <w:t>IT: TF 5A_279/2023 del 9 giugno 2023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Statuant le 28 avril 2022 sur la requête de la Société B.________, le Tribunal de première instance de Genève a ordonné le séquestre de la part saisissable de tous les revenus du travail versés à A.________ en mains de son employeur (C.________), pour le montant de 20'000 fr. avec intérêts à 5 % dès le 5 août 2021. Le séquestre (</w:t>
      </w:r>
    </w:p>
    <w:p>
      <w:r>
        <w:t>n°xxx ) a été exécuté le jour même par l'Office cantonal des poursuites de Genève, qui en a avisé l'employeur.</w:t>
      </w:r>
    </w:p>
    <w:p>
      <w:r>
        <w:t>Le 15 août 2022, l'Office a communiqué à la débitrice le procès-verbal de séquestre; il a fixé à "</w:t>
      </w:r>
    </w:p>
    <w:p>
      <w:r>
        <w:t>toutes sommes supérieures à 1'428 fr. 15 " par mois la retenue imposée sur son salaire.</w:t>
      </w:r>
    </w:p>
    <w:p>
      <w:r>
        <w:rPr>
          <w:b/>
        </w:rPr>
        <w:t>E. 1.2</w:t>
      </w:r>
    </w:p>
    <w:p>
      <w:r>
        <w:t>Le 18 août 2022, la débitrice a porté plainte contre le procès-verbal de séquestre, faisant valoir qu'elle était insaisissable.</w:t>
      </w:r>
    </w:p>
    <w:p>
      <w:r>
        <w:t>Par décision du 23 mars 2023, la Chambre de surveillance des Offices des poursuites et faillites de la Cour de justice du canton de Genève a rejeté la plainte.</w:t>
      </w:r>
    </w:p>
    <w:p>
      <w:r>
        <w:rPr>
          <w:b/>
        </w:rPr>
        <w:t>E. 2</w:t>
      </w:r>
    </w:p>
    <w:p>
      <w:r>
        <w:t>Par écriture expédiée le 12 avril 2023, la débitrice interjette un "</w:t>
      </w:r>
    </w:p>
    <w:p>
      <w:r>
        <w:t>recours gracieux " à l'encontre de la décision précitée; elle conclut à l'annulation du séquestre et à ce qu'elle soit reconnue insolvable.</w:t>
      </w:r>
    </w:p>
    <w:p>
      <w:r>
        <w:t>Des observations n'ont pas été requises.</w:t>
      </w:r>
    </w:p>
    <w:p>
      <w:r>
        <w:rPr>
          <w:b/>
        </w:rPr>
        <w:t>E. 3</w:t>
      </w:r>
    </w:p>
    <w:p>
      <w:r>
        <w:t>L'écriture de la recourante est traitée comme recours en matière civile au sens de l' art. 72 al. 2 let. a LTF . Il est superflu d'examiner les autres conditions de recevabilité, ce procédé étant voué à l'échec.</w:t>
      </w:r>
    </w:p>
    <w:p>
      <w:r>
        <w:rPr>
          <w:b/>
        </w:rPr>
        <w:t>E. 4.1</w:t>
      </w:r>
    </w:p>
    <w:p>
      <w:r>
        <w:t>Le présent recours est d'emblée irrecevable en tant qu'il conclut à l'annulation du séquestre - décision</w:t>
      </w:r>
    </w:p>
    <w:p>
      <w:r>
        <w:t>judiciaire qui n'est de surcroît pas susceptible de plainte ( art. 17 al. 1 LP ) -, l'objet de la contestation étant le procès-verbal de séquestre (</w:t>
      </w:r>
    </w:p>
    <w:p>
      <w:r>
        <w:t>cf . ATF 142 I 155 consid. 4.4.2).</w:t>
      </w:r>
    </w:p>
    <w:p>
      <w:r>
        <w:rPr>
          <w:b/>
        </w:rPr>
        <w:t>E. 4.2</w:t>
      </w:r>
    </w:p>
    <w:p>
      <w:r>
        <w:t>Les magistrats précédents ont retenu - doctrine et jurisprudence à l'appui - que la base mensuelle du minimum vital peut être réduite en raison du coût de la vie inférieur dans le pays du domicile du débiteur par rapport à la Suisse (</w:t>
      </w:r>
    </w:p>
    <w:p>
      <w:r>
        <w:t>cf . parmi plusieurs: OCHSNER,</w:t>
      </w:r>
    </w:p>
    <w:p>
      <w:r>
        <w:t>in : Commentaire romand, 2005, n° 109 ad art. 93 LP ); à U.________, une réduction de 15 % pour un débiteur domicile en France est admise.</w:t>
      </w:r>
    </w:p>
    <w:p>
      <w:r>
        <w:t>La recourante se borne à contester ladite réduction, en exposant que sa famille habite "</w:t>
      </w:r>
    </w:p>
    <w:p>
      <w:r>
        <w:t>à seulement 4 Km de la douane et à moins de 10 Km du centre de U.________ ". Une argumentation aussi indigente ne respecte pas les exigences légales de motivation ( art. 42 al. 2 LTF ; ATF 140 III 86 consid. 2, 115 consid. 2; 142 III 364 consid. 2.4). Elle ne démontre nullement que le coût de la vie à prendre en considération dans le cas particulier serait rigoureusement identique à celui de U.________ et invoque sans le moindre commentaire une décision plus ancienne que celle sur laquelle s'est fondée la juridiction précédente. Le grief s'avère dès lors entièrement irrecevable.</w:t>
      </w:r>
    </w:p>
    <w:p>
      <w:r>
        <w:rPr>
          <w:b/>
        </w:rPr>
        <w:t>E. 4.3</w:t>
      </w:r>
    </w:p>
    <w:p>
      <w:r>
        <w:t>La recourante fait en outre valoir que son handicap résultant d'un accident la contraint à travailler à "</w:t>
      </w:r>
    </w:p>
    <w:p>
      <w:r>
        <w:t>50% ". La portée de cette remarque est toutefois obscure, dès lors que - à teneur de la décision attaquée ( art. 105 al. 1 LTF ; ATF 140 III 16 consid. 1.3.1) - l'intéressée n'a pas "</w:t>
      </w:r>
    </w:p>
    <w:p>
      <w:r>
        <w:t>contesté la quotité de ses revenus retenue par l'Office pour calculer son minimum vital "; elle ne remet d'ailleurs pas en cause le montant admis de ce chef</w:t>
      </w:r>
    </w:p>
    <w:p>
      <w:r>
        <w:t>(i.e. 2'067 fr. 40 [1'730 fr. 90 + 336 fr. 50]).</w:t>
      </w:r>
    </w:p>
    <w:p>
      <w:r>
        <w:rPr>
          <w:b/>
        </w:rPr>
        <w:t>E. 4.4</w:t>
      </w:r>
    </w:p>
    <w:p>
      <w:r>
        <w:t>Pour le surplus, la recourante ne soulève aucune critique motivée à l'encontre des autres postes du minimum vital retenus par l'Office et confirmés par la cour cantonale (art. 42 al. 2 et 106 al. 2 LTF). Il n'y a donc pas lieu d'en débattre.</w:t>
      </w:r>
    </w:p>
    <w:p>
      <w:r>
        <w:rPr>
          <w:b/>
        </w:rPr>
        <w:t>E. 5</w:t>
      </w:r>
    </w:p>
    <w:p>
      <w:r>
        <w:t>En conclusion, le présent recours doit être déclaré irrecevable par voie de procédure simplifiée ( art. 108 al. 1 let. b LTF ), avec suite de frais à la charge de la recourante ( art. 66 al. 1 LTF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