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5A_279/2022 vom 21. April 2022</w:t>
      </w:r>
    </w:p>
    <w:p>
      <w:r>
        <w:t>Bundesgericht, 2022-04-21, DE</w:t>
      </w:r>
    </w:p>
    <w:p>
      <w:r>
        <w:rPr>
          <w:b/>
        </w:rPr>
        <w:t xml:space="preserve">Quelle: </w:t>
      </w:r>
      <w:r>
        <w:t>https://mcp.opencaselaw.ch/entscheid/bger_5A_279_2022</w:t>
      </w:r>
    </w:p>
    <w:p>
      <w:r>
        <w:t>FR: TF 5A_279/2022 du 21 avril 2022</w:t>
      </w:r>
    </w:p>
    <w:p>
      <w:r>
        <w:t>IT: TF 5A_279/2022 del 21 aprile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in seinen Erwägungen unter Verweis auf die (in der Rechtsmittelbelehrung aufgeführte) 10-tägige Beschwerdefrist gegen den Verlegungsentscheid und unter Darlegung des konkreten Fristenlaufes festgehalten, dass das Bezirksgericht die Beschwerde zu Recht als offensichtlich verspätet erachtet habe.</w:t>
      </w:r>
    </w:p>
    <w:p>
      <w:r>
        <w:rPr>
          <w:b/>
        </w:rPr>
        <w:t>E. 3</w:t>
      </w:r>
    </w:p>
    <w:p>
      <w:r>
        <w:t>Mit diesen Erwägungen setzt sich der Beschwerdeführer nicht auseinander. Er wendet sich vielmehr direkt gegen die fürsorgerische Unterbringung mit der Begründung, unter Umständen leide man wegen falscher Diagnose an Schizophrenie, er sei in der Lage, selbst in einer Wohnung zu leben, und er würde sich auch gerne selbst behandeln statt ohne Sinn in einer Klinik zu verweilen. Die Frage der fürsorgerischen Unterbringung war aber nicht Gegenstand des Ausgangsentscheides; sie kann deshalb auch nicht zum Anfechtungsgegenstand gemacht werden ( Art. 99 Abs. 1 und 2 BGG ; BGE 136 II 457 E. 4.2; 136 V 362 E. 3.4.2 ; 142 I 155 E. 4.4.2).</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