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5A_279/2020 vom 22. April 2020</w:t>
      </w:r>
    </w:p>
    <w:p>
      <w:r>
        <w:t>Bundesgericht, 2020-04-22, DE</w:t>
      </w:r>
    </w:p>
    <w:p>
      <w:r>
        <w:rPr>
          <w:b/>
        </w:rPr>
        <w:t xml:space="preserve">Quelle: </w:t>
      </w:r>
      <w:r>
        <w:t>https://mcp.opencaselaw.ch/entscheid/bger_5A_279_2020</w:t>
      </w:r>
    </w:p>
    <w:p>
      <w:r>
        <w:t>FR: TF 5A_279/2020 du 22 avril 2020</w:t>
      </w:r>
    </w:p>
    <w:p>
      <w:r>
        <w:t>IT: TF 5A_279/2020 del 22 aprile 2020</w:t>
      </w:r>
    </w:p>
    <w:p>
      <w:pPr>
        <w:pStyle w:val="Heading2"/>
      </w:pPr>
      <w:r>
        <w:t>Erwägungen</w:t>
      </w:r>
    </w:p>
    <w:p>
      <w:r>
        <w:rPr>
          <w:b/>
        </w:rPr>
        <w:t>E. 1</w:t>
      </w:r>
    </w:p>
    <w:p>
      <w:r>
        <w:t>Was die Verfahrenssistierung anbelangt, geht es um einen Zwischenentscheid, der nur unter den besonderen Voraussetzungen von Art. 93 Abs. 1 BGG (dazu namentlich BGE 142 III 798 E. 2.2 S. 801) mit Beschwerde beim Bundesgericht angefochten werden kann, wobei die Voraussetzungen in der Beschwerde darzutun sind ( BGE 137 III 324 E. 1.1 S. 329; 141 IV 289 E. 1.3 S. 292). Dies wurde der Beschwerdeführerin bereits im Urteil 5A_584/2019 mitgeteilt. Dennoch äussert sie sich auch vorliegend nicht zu den betreffenden Beschwerdevoraussetzungen.</w:t>
      </w:r>
    </w:p>
    <w:p>
      <w:r>
        <w:rPr>
          <w:b/>
        </w:rPr>
        <w:t>E. 2</w:t>
      </w:r>
    </w:p>
    <w:p>
      <w:r>
        <w:t>Was sodann die Abweisung des Gesuches um unentgeltliche Rechtspflege anbelangt, verweist die Beschwerdeführerin auf ihre Mittellosigkeit und darauf, dass sie ohne juristische Unterstützung keine korrekte Beschwerde ausarbeiten könne. Das Obergericht hat das Gesuch um unentgeltliche Rechtspflege jedoch wegen Aussichtslosigkeit der Beschwerde abgewiesen und befunden, das Bezirksgericht habe den erneuten Sistierungsantrag abgewiesen, weil der Ehemann eine Fortsetzung des Scheidungsverfahrens wünsche und aussergerichtliche Gespräche deshalb nicht zielführend seien. Indem die Beschwerdeführerin dem Obergericht diesbezüglich eine unhaltbare Unterstellung vorwirft, tut sie keine Rechtsverletzung im Sinn von Art. 42 Abs. 2 BGG dar; ebenso wenig mit der Aussage, ein unterdrücktes komplexes Psychotrauma sei gefährlich und ihr Ehemann habe dieses aufgrund von "power harassment" durch die Verwaltung und Politik der Stadt Uster erhalten.</w:t>
      </w:r>
    </w:p>
    <w:p>
      <w:r>
        <w:rPr>
          <w:b/>
        </w:rPr>
        <w:t>E. 3</w:t>
      </w:r>
    </w:p>
    <w:p>
      <w:r>
        <w:t>Nach dem Gesagten erweist sich die Beschwerde sowohl im Zusammenhang mit der Beschwerdeabweisung betreffend Sistierung des Ehescheidungsverfahrens als auch hinsichtlich der für das Beschwerdeverfahren verweigerten unentgeltlichen Rechtspflege als offensichtlich nicht hinreichend begründet, weshalb auf die Beschwerde insgesamt nicht einzutreten ist und der Präsident im vereinfachten Verfahren entscheidet ( Art. 108 Abs. 1 lit. b BGG ).</w:t>
      </w:r>
    </w:p>
    <w:p>
      <w:r>
        <w:rPr>
          <w:b/>
        </w:rPr>
        <w:t>E. 4</w:t>
      </w:r>
    </w:p>
    <w:p>
      <w:r>
        <w:t>Wie die vorstehenden Erwägungen zeigen, konnte der Beschwerde von Anfang an kein Erfolg beschieden sein, weshalb es an den materiellen Voraussetzungen der unentgeltlichen Rechtspflege fehlt ( Art. 64 Abs. 1 BGG ) und das für das bundesgerichtliche Verfahren gestellte Gesuch abzuweisen ist. Im Übrigen wurde der Beschwerdeführerin bereits im Verfahren 5A_584/2019 mitgeteilt, dass das Bundesgericht keine Rechtsanwälte vermittelt.</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