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279/2014 vom 30. Januar 2015</w:t>
      </w:r>
    </w:p>
    <w:p>
      <w:r>
        <w:t>Bundesgericht, 2015-01-30, DE</w:t>
      </w:r>
    </w:p>
    <w:p>
      <w:r>
        <w:rPr>
          <w:b/>
        </w:rPr>
        <w:t xml:space="preserve">Quelle: </w:t>
      </w:r>
      <w:r>
        <w:t>https://mcp.opencaselaw.ch/entscheid/bger_5A_279_2014</w:t>
      </w:r>
    </w:p>
    <w:p>
      <w:r>
        <w:t>FR: TF 5A 279/2014 du 30 janvier 2015</w:t>
      </w:r>
    </w:p>
    <w:p>
      <w:r>
        <w:t>IT: TF 5A 279/2014 del 30 gennaio 2015</w:t>
      </w:r>
    </w:p>
    <w:p>
      <w:pPr>
        <w:pStyle w:val="Heading2"/>
      </w:pPr>
      <w:r>
        <w:t>Regeste</w:t>
      </w:r>
    </w:p>
    <w:p>
      <w:r>
        <w:t>Eheschutz | Familienrecht</w:t>
      </w:r>
    </w:p>
    <w:p>
      <w:pPr>
        <w:pStyle w:val="Heading2"/>
      </w:pPr>
      <w:r>
        <w:t>Erwägungen</w:t>
      </w:r>
    </w:p>
    <w:p>
      <w:r>
        <w:rPr>
          <w:b/>
        </w:rPr>
        <w:t>E. 1.1</w:t>
      </w:r>
    </w:p>
    <w:p>
      <w:r>
        <w:t>Die Beschwerde richtet sich gegen den Endentscheid einer letzten kantonalen Instanz, die als oberes Gericht in seiner Eigenschaft als Rechtsmittelinstanz über eine vermögensrechtliche Zivilsache entschieden hat (Art. 72 Abs. 1, 75 Abs. 1 und 90 BGG). Der Streitwert übersteigt Fr. 30'000.-- (Art. 74 Abs. 1 Bst. b BGG). Die Beschwerde in Zivilsachen ist damit grundsätzlich zulässig. Der Beschwerdeführer ist gemäss Art. 76 Abs. 1 BGG zur Beschwerde berechtigt und die Beschwerdefrist ist eingehalten ( Art. 100 Abs. 1 BGG ). Insofern kann auf die Beschwerde eingetreten werden.</w:t>
      </w:r>
    </w:p>
    <w:p>
      <w:r>
        <w:rPr>
          <w:b/>
        </w:rPr>
        <w:t>E. 1.2</w:t>
      </w:r>
    </w:p>
    <w:p>
      <w:r>
        <w:t>Vorliegend geht es um einen Eheschutzentscheid, welcher eine vorsorgliche Massnahme nach Art. 98 BGG darstellt ( BGE 133 III 393 E. 5.2 S. 397). Somit kann einzig die Verletzung verfassungsmässiger Rechte gerügt werden ( Art. 98 BGG ). Auch die Anwendung von Bundesgesetzen prüft das Bundesgericht im Rahmen von Art. 98 BGG nur auf Willkür ( Art. 9 BV ; Urteil 5A_261/2009 vom 1. September 2009 E. 1.2, nicht publ. in: BGE 135 III 608 ; zum Willkürbegriff vgl. BGE 134 II 124 E. 4.1 S. 133; 116 II 625 E. 3b S. 628). Für die Geltendmachung der Verletzung verfassungsmässiger Rechte gilt das Rügeprinzip ( Art. 106 Abs. 2 BGG ; BGE 134 I 83 E. 3.2 S. 88; 133 III 393 E. 6 S. 397). Die Beschwerdeschrift muss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135 III 232 E. 1.2 S. 234 ; 134 I 83 E. 3.2 S. 88; 133 III 393 E. 6 S. 397). Will der Beschwerdeführer die Verletzung des Willkürverbots geltend machen, reicht es sodann nicht aus, wenn er die Lage aus seiner eigenen Sicht schildert und den davon abweichenden angefochtenen Entscheid als willkürlich bezeichnet. Vielmehr muss er im Einzelnen darlegen, inwiefern das kantonale Gericht willkürlich entschieden haben soll und der angefochtene Entscheid deshalb an einem qualifizierten und offensichtlichen Mangel leidet ( BGE 134 II 244 E. 2.2 S. 246).</w:t>
      </w:r>
    </w:p>
    <w:p>
      <w:r>
        <w:rPr>
          <w:b/>
        </w:rPr>
        <w:t>E. 2</w:t>
      </w:r>
    </w:p>
    <w:p>
      <w:r>
        <w:t>Die Beschwerdeschrift hat ein Rechtsbegehren zu enthalten ( Art. 42 Abs. 1 BGG ). Daher darf sich der Beschwerdeführer grundsätzlich nicht darauf beschränken, die Aufhebung des angefochtenen Entscheids zu beantragen, sondern muss einen Antrag in der Sache stellen. Der Beschwerdeführer muss demnach angeben, welche Punkte des Entscheids angefochten und welche Abänderungen beantragt werden. Grundsätzlich ist ein materieller Antrag erforderlich; Anträge auf Rückweisung der Sache an die Vorinstanz zu neuer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(vgl. BGE 133 III 489 E. 3.1 S. 489 f. mit Hinweisen). Davon ist im vorliegenden Fall insofern auszugehen, als der Beschwerdeführer verlangt, dass der Unterhalt neu und unter Berücksichtigung des Unterhalts berechnet wird, den er seinen beiden Kindern aus erster Ehe schuldet.</w:t>
      </w:r>
    </w:p>
    <w:p>
      <w:r>
        <w:rPr>
          <w:b/>
        </w:rPr>
        <w:t>E. 3.1</w:t>
      </w:r>
    </w:p>
    <w:p>
      <w:r>
        <w:t>In der Sache ist umstritten, ob bei der Ermittlung des Bedarfs des Beschwerdeführers der Unterhalt anzurechnen ist, den dieser seinen beiden Kindern aus erster Ehe schuldet. Das Kreisgericht Werdenberg-Sarganserland hat dem Beschwerdeführer dafür in seinem Bedarf einen Betrag von Fr. 2'200.-- angerechnet und dies damit begründet, dass die Beschwerdegegnerin um diese Unterhaltspflicht wusste oder zumindest hätte wissen müssen, als sie den Beschwerdeführer heiratete. Demgegenüber verweigerte die Vorinstanz dem Beschwerdeführer die Berücksichtigung eines solchen Unterhaltsbeitrags, weil sie von der Nachrangigkeit des den erwachsenen Kindern geschuldeten Unterhalts gegenüber dem Unterhalt ausgegangen ist, den der Beschwerdeführer seiner Ehefrau und dem unmündigen Kind schuldet. In ihrer Vernehmlassung vom 6. November 2014 verweist die Vorinstanz zudem auf die Notwendigkeit, im Eheschutz eine für beide Eheleute ausgewogene Lösung zu finden. Im konkreten Fall habe der gut ausgebildete und in finanziellen Belangen äusserst erfahrene Beschwerdeführer gewusst, dass mit der Trennung Mehrkosten auf ihn zukämen. Seine Unterhaltszahlungen zu Gunsten seiner erwachsenen Kinder dürften daher nicht zu Lasten der übrigen Unterhaltsberechtigten gehen. Entgegen der Darstellung des Beschwerdeführers würden im Kanton St. Gallen Ausbildungszulagen gegebenenfalls auch an Eltern ausgerichtet, welche nicht mit den Kindern zusammenwohnen.</w:t>
      </w:r>
    </w:p>
    <w:p>
      <w:r>
        <w:rPr>
          <w:b/>
        </w:rPr>
        <w:t>E. 3.2</w:t>
      </w:r>
    </w:p>
    <w:p>
      <w:r>
        <w:t>Der Beschwerdeführer wirft der Vorinstanz vor, willkürlich und widersprüchlich entschieden zu haben und dabei die verfassungsmässigen Rechte von ihm und seinen Kindern aus erster Ehe verletzt zu haben. Obwohl nach den Berechnungen des Kreisgerichts der angemessene Bedarf der Familie gedeckt gewesen sei, habe es die Vorinstanz abgelehnt, in seinem Bedarf seine Unterhaltsleistungen an die Kinder aus erster Ehe zu berücksichtigen.</w:t>
      </w:r>
    </w:p>
    <w:p>
      <w:r>
        <w:rPr>
          <w:b/>
        </w:rPr>
        <w:t>E. 3.3.1</w:t>
      </w:r>
    </w:p>
    <w:p>
      <w:r>
        <w:t>Nach Art. 276 Abs. 1 ZGB haben die Eltern für den Unterhalt des Kindes aufzukommen, inbegriffen für die Kosten von Erziehung, Ausbildung und Kindesschutzmassnahmen. Die Unterhaltspflicht dauert bis zur Volljährigkeit des Kindes ( Art. 277 Abs. 1 ZGB ). Hat das Kind in diesem Zeitpunkt noch keine angemessene Ausbildung, so haben die Eltern, soweit es ihnen nach den gesamten Umständen zugemutet werden darf, für seinen Unterhalt aufzukommen, bis diese ordentlicherweise abgeschlossen werden kann ( Art. 277 Abs. 2 ZGB ).</w:t>
      </w:r>
    </w:p>
    <w:p>
      <w:r>
        <w:rPr>
          <w:b/>
        </w:rPr>
        <w:t>E. 3.3.2</w:t>
      </w:r>
    </w:p>
    <w:p>
      <w:r>
        <w:t>Die Grundsätze zur Bemessung des elterlichen Unterhaltsbeitrages sind in Art. 285 Abs. 1 ZGB geregelt; gemäss dieser Bestimmung soll der Unterhaltsbetrag den Bedürfnissen des Kindes sowie der Lebensstellung und Leistungsfähigkeit der Eltern entsprechen. Nach der Rechtsp rechung ergibt sich aus dieser Vorschrift, dass alle unterhaltsberechtigten Kinder eines Elternteils im Verhältnis zu ihren objektiven Bedürfnissen finanziell gleich zu behandeln sind. Ungleiche Unterhaltsbeiträge sind somit nicht von vorneherein ausgeschlossen, bedürfen aber einer besonderen Rechtfertigung ( BGE 137 III 59 E. 4.2.1 S. 62; 126 III 353 E. 2b S. 358 f. mit Hinweisen). Die Höhe des Unterhaltsbeitrages hängt freilich nicht nur von der Leistungsfähigkeit des in die Unterhaltspflicht genommenen, sondern auch von den finanziellen Umständen des obhuts- bzw. sorgeberechtigten Elternteils ab ( BGE 126 III 353 E. 2b S. 359 mit Hinweisen). Über die Schranke der wirtschaftlichen Leistungsfähigkeit des unterhaltspflichtigen Elternteils kann sich das Gericht bei der Bemessung des Unterhaltsbeitrages für die Kinder nach Art. 285 Abs. 1 ZGB aber in aller Regel nicht hinwegsetzen ( BGE 127 III 68 E. 2c S. 70 f.; BGE 123 III 1 E. 3b/bb S. 4 mit Hinweisen). Dem Unterhaltsschuldner ist mit Bezug auf alle familienrechtlichen Unterhaltskategorien zumindest das betreibungsrechtliche Existenzminimum stets voll zu belassen (vgl. BGE 126 III 353 E. 1a/aa S. 356, bestätigt in BGE 135 III 66 E. 2 ff. S. 67 ff. mit Hinweisen). Dabei kann der Unterhaltsschuldner lediglich für seine eigene Person die Sicherung der Existenz beanspruchen. Er ist also nur im für ihn allein massgeblichen betreibungsrechtlichen Existenzminimum zu schützen ( BGE 137 III 59 E. 4.2.1 S. 62). Sind die Mittel eingeschränkt, ist zunächst das betreibungsrechtliche Existenzminimum des unterhaltspflichtigen Ehegatten, in zweiter Linie dasjenige der Kinder und zuletzt dasjenige des unterhaltsberechtigten Ehegatten zu ermitteln und zu decken (siehe ausführlich in oben zitiertem BGE 137 III 59 E. 4.2.3 S. 64).</w:t>
      </w:r>
    </w:p>
    <w:p>
      <w:r>
        <w:rPr>
          <w:b/>
        </w:rPr>
        <w:t>E. 3.3.3</w:t>
      </w:r>
    </w:p>
    <w:p>
      <w:r>
        <w:t>Die Vorinstanz hat für das Bundesgericht verbindlich festgestellt ( Art. 105 Abs. 1 BGG ), dass der Beschwerdeführer seinen volljährigen Kindern je einen monatlichen Unterhaltsbeitrag von Fr. 1'100.-- bezahlt. Die Tochter befinde sich noch im Studium, welches sie voraussichtlich im Jahr 2016 abschliessen werde. Der Sohn werde seine Lehre wahrscheinlich im Sommer 2014 beenden (S. 10 Ziff. 14 des angefochtenen Urteils). Die Beschwerdegegnerin bestreitet nicht, dass der Beschwerdeführer für die beiden volljährigen Kinder schon während der Ehe Mündigenunterhalt in der Höhe von insgesamt Fr. 2'200.-- bezahlte.</w:t>
      </w:r>
    </w:p>
    <w:p>
      <w:r>
        <w:rPr>
          <w:b/>
        </w:rPr>
        <w:t>E. 3.3.4</w:t>
      </w:r>
    </w:p>
    <w:p>
      <w:r>
        <w:t>Dem vorinstanzlichen Urteil lassen sich keine rechtsgenüglichen Feststellungen zum ehelichen Lebensstandard der nun getrennt lebenden Parteien entnehmen (wobei die unbestrittenermassen während der Ehe bezahlten Unterhaltsbeiträge zu berücksichtigen gewesen wären, standen diese dem ehelichen Haushalt doch bereits während dem Zusammenleben nicht zur Verfügung). Damit fehlt die Basis für die Berechnung des angemessenen Kindes- und des gebührenden Ehegattenunterhalts (zum gebührenden Unterhalt ausführlich BGE 137 III 102 E. 4.2.1 S. 106 ff. mit Hinweisen). Der Beschwerdeführer rügt das angefochtene Urteil somit zu Recht als willkürlich.</w:t>
      </w:r>
    </w:p>
    <w:p>
      <w:r>
        <w:rPr>
          <w:b/>
        </w:rPr>
        <w:t>E. 3.3.5</w:t>
      </w:r>
    </w:p>
    <w:p>
      <w:r>
        <w:t>Das vorinstanzliche Urteil ist daher zur weiteren Instruktion und zu neuem Entscheid an die Vorinstanz zurückzuweisen. Zu berücksichtigen sind dabei selbstredend auch allfällige Ausbildungszulagen, auf die der Beschwerdeführer bzw. seine beiden erwachsenen Kinder Anspruch haben.</w:t>
      </w:r>
    </w:p>
    <w:p>
      <w:r>
        <w:rPr>
          <w:b/>
        </w:rPr>
        <w:t>E. 3.3.6</w:t>
      </w:r>
    </w:p>
    <w:p>
      <w:r>
        <w:t>Bei diesem Ausgang des Verfahrens wird das Eventualbegehren gegenstandslos.</w:t>
      </w:r>
    </w:p>
    <w:p>
      <w:r>
        <w:rPr>
          <w:b/>
        </w:rPr>
        <w:t>E. 4</w:t>
      </w:r>
    </w:p>
    <w:p>
      <w:r>
        <w:t>Als unterliegende Partei hat die Beschwerdegegnerin grundsätzlich für die Gerichtskosten aufzukommen ( Art. 66 Abs. 1 ZGB ). Den besonderen Umständen des Falls entsprechend (vgl. E. 3.3) wird auf solche verzichtet. Dem nicht anwaltlich vertretenen Beschwerdeführer sind keine Kosten erwachsen. Er ist deshalb auch nicht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