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5A_277/2025 vom 14. April 2025</w:t>
      </w:r>
    </w:p>
    <w:p>
      <w:r>
        <w:t>Bundesgericht, 2025-04-14, DE</w:t>
      </w:r>
    </w:p>
    <w:p>
      <w:r>
        <w:rPr>
          <w:b/>
        </w:rPr>
        <w:t xml:space="preserve">Quelle: </w:t>
      </w:r>
      <w:r>
        <w:t>https://mcp.opencaselaw.ch/entscheid/bger_5A_277_2025</w:t>
      </w:r>
    </w:p>
    <w:p>
      <w:r>
        <w:t>FR: TF 5A_277/2025 du 14 avril 2025</w:t>
      </w:r>
    </w:p>
    <w:p>
      <w:r>
        <w:t>IT: TF 5A_277/2025 del 14 aprile 2025</w:t>
      </w:r>
    </w:p>
    <w:p>
      <w:pPr>
        <w:pStyle w:val="Heading2"/>
      </w:pPr>
      <w:r>
        <w:t>Erwägungen</w:t>
      </w:r>
    </w:p>
    <w:p>
      <w:r>
        <w:rPr>
          <w:b/>
        </w:rPr>
        <w:t>E. 1</w:t>
      </w:r>
    </w:p>
    <w:p>
      <w:r>
        <w:t>Angefochten ist der kantonal letztinstanzliche Entscheid betreffend die Ausgestaltung eines Besuchsrechts; die Beschwerde in Zivilsachen steht offen ( Art. 72 Abs. 1,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Die Beschwerde besteht in erster Linie aus Behauptungen und Schilderungen zum Sachverhalt aus eigener Sicht, wobei diese durchwegs in appellatorischer und somit ungenügender Form erhoben werden (vgl. E. 2) und teils auch neu und damit von vornherein unzulässig sind ( Art. 99 Abs. 1 BGG ). So macht die Beschwerdeführerin geltend, das Strafverfahren gegen den Vater sei noch nicht abgeschlossen, dieser passe die Kinder auf dem Schulweg ab und locke sie in sein Fahrzeug, sie könne deshalb als berufstätige Mutter den Tagesablauf mit den Kindern nicht strukturiert aufbauen, die Grosseltern würden das Verhalten kopieren, was zusätzliche Probleme bei den Terminabsprachen zur Folge habe, und es gehe terminlich auch nicht, wenn C.________ ein begleitetes, sein Bruder aber ein unbegleitetes Besuchsrecht habe. Auf all diese Vorbringen zum Sachverhalt kann, weil sie nicht im Rahmen von Verfassungsrügen vorgebracht werden, nicht eingetreten werden. Ohnehin wäre bei ihnen aber auch weitgehend nicht erkennbar, inwiefern sie die Rechtsfrage der Besuchsrechtsausgestaltung, namentlich die Frage des begleiteten Besuchsrechts beeinflussen könnten.</w:t>
      </w:r>
    </w:p>
    <w:p>
      <w:r>
        <w:rPr>
          <w:b/>
        </w:rPr>
        <w:t>E. 4</w:t>
      </w:r>
    </w:p>
    <w:p>
      <w:r>
        <w:t>In rechtlicher Hinsicht erfolgt keine Auseinandersetzung mit den ausführlichen Erwägungen des über 20-seitigen angefochtenen Entscheides. Im Wesentlichen macht die Beschwerdeführerin geltend, zufolge des vielfach zitierten Elternkonflikts sei die Voraussetzung für ein begleitetes Besuchsrecht nicht gegeben und zuerst müsse die angeordnete Verhaltenstherapie des Vaters umgesetzt werden. Die Aussagen, welche eine konkrete Bezugnahme auf die differenzierten Erwägungen des angefochtenen Urteils vermissen lassen, sind in ihrer Abstraktheit nicht geeignet, eine Rechtsverletzung darzulegen.</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Mit dem sofortigen Entscheid in der Sache ist das Gesuch um aufschiebende Wirkung gegenstandslos.</w:t>
      </w:r>
    </w:p>
    <w:p>
      <w:r>
        <w:rPr>
          <w:b/>
        </w:rPr>
        <w:t>E. 7</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