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5A_277/2019 vom 25. September 2019</w:t>
      </w:r>
    </w:p>
    <w:p>
      <w:r>
        <w:t>Bundesgericht, 2019-09-25, FR</w:t>
      </w:r>
    </w:p>
    <w:p>
      <w:r>
        <w:rPr>
          <w:b/>
        </w:rPr>
        <w:t xml:space="preserve">Quelle: </w:t>
      </w:r>
      <w:r>
        <w:t>https://mcp.opencaselaw.ch/entscheid/bger_5A_277_2019</w:t>
      </w:r>
    </w:p>
    <w:p>
      <w:r>
        <w:t>FR: TF 5A_277/2019 du 25 septembre 2019</w:t>
      </w:r>
    </w:p>
    <w:p>
      <w:r>
        <w:t>IT: TF 5A_277/2019 del 25 settembre 2019</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51 al. 4 et 74 al. 1 let. b LTF). Le recourant, qui a partiellement succombé devant la juridiction précédente, a qualité pour recourir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 supra consid. 2.1). Il ne saurait dès lors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t>En l'occurrence, l'acte de recours contient une partie intitulée "Faits" comportant vingt-trois allégués, dont certains repris tels quels des écritures d'appel. En tant que les éléments qui y sont exposés divergent de ceux constatés dans l'arrêt querellé et qu'ils ne sont pas discutés sous l'angle de l'établissement arbitraire des faits ou de l'appréciation arbitraire des preuves, il n'en sera pas tenu compte.</w:t>
      </w:r>
    </w:p>
    <w:p>
      <w:r>
        <w:rPr>
          <w:b/>
        </w:rPr>
        <w:t>E. 3</w:t>
      </w:r>
    </w:p>
    <w:p>
      <w:r>
        <w:t>Le recourant se plaint d'une violation de l' art. 58 al. 1 CPC . Il estime en substance qu'en allouant à l'intimée une contribution à son propre entretien sur la base de sa conclusion subsidiaire n° XI, les juges précédents ont statué</w:t>
      </w:r>
    </w:p>
    <w:p>
      <w:r>
        <w:t>ultra petita .</w:t>
      </w:r>
    </w:p>
    <w:p>
      <w:r>
        <w:rPr>
          <w:b/>
        </w:rPr>
        <w:t>E. 3.1</w:t>
      </w:r>
    </w:p>
    <w:p>
      <w:r>
        <w:t>Il n'est pas contesté que la pension post-divorce est soumise au principe de disposition ( art. 58 al. 1 CPC ; arrêt 5A_169/2012 du 18 juillet 2012 consid. 3.3 et les références) : le juge ne peut l'octroyer que si l'époux concerné la réclame et il est lié par la somme demandée (arrêt 5A_361/2011 du 7 décembre 2011 consid. 5.3.1 et 5.3.3, publié in FamPra.ch 2012 p. 447). En particulier, il ne peut pas d'office augmenter la contribution due à l'épouse pour compenser le fait que celle allouée aux enfants est plus faible que celle qu'elle avait requise pour eux (arrêts 5A_704/2013 du 15 mai 2014 consid. 3.4 non publié in ATF 140 III 231 , mais in FamPra.ch 2014 p. 699; 5A_906/2012 du 18 avril 2013 consid. 6.2.2, publié in FamPra.ch 2013 p. 713; 5C.108/2003 du 18 décembre 2003 consid. 4 non publié in ATF 130 III 297 ). Ainsi, pour éviter de se faire opposer les conséquences du principe de disposition et de l'interdiction des conclusions nouvelles, par exemple pour le cas où les calculs du juge différeraient des siens et permettraient en définitive de lui allouer une pension plus élevée, le parent qui réclame des montants tant pour lui-même que pour un enfant doit prendre des conclusions subsidiaires pour chaque crédirentier d'entretien au cas où les conclusions principales ne devaient pas être admises ( ATF 140 III 231 consid. 3.5; arrêts 5A_245/2019 du 1er juillet 2019 consid. 3.1.1 et les références; 5A_204/2018 du 15 juin 2018 consid. 4.1; 5A_97/2017 du 23 août 2017 consid. 3.3.1).</w:t>
      </w:r>
    </w:p>
    <w:p>
      <w:r>
        <w:rPr>
          <w:b/>
        </w:rPr>
        <w:t>E. 3.2</w:t>
      </w:r>
    </w:p>
    <w:p>
      <w:r>
        <w:t>Le recourant est d'avis que la cour cantonale a fait entièrement droit à la conclusion principale n° VI de l'intimée portant sur le versement d'une contribution de prise en charge. Le fait que le montant alloué soit inférieur à celui qui avait été "allégué" par l'intimée n'y changeait rien, dès lors que la finalité de cette conclusion était la couverture totale des coûts indirects de l'enfant. Les juges cantonaux n'étaient dès lors pas en droit de se pencher sur la conclusion n° XI prise à titre subsidiaire.</w:t>
      </w:r>
    </w:p>
    <w:p>
      <w:r>
        <w:t>Le recourant ajoute que la "systématique de la formulation des conclusions ne permet pas à deux fondements légaux pris à titre subsidiaire d'être alloués de manière concomitante". Or l'arrêt entrepris allouait à la fois la conclusion principale et la conclusion subsidiaire prises par l'intimée nonobstant le fait que ces conclusions reposaient sur des "fondements légaux" différents. Si l'intimée considérait que tant les conditions pour l'allocation d'une contribution de prise en charge que celles pour l'allocation d'une contribution à son propre entretien étaient réalisées, elle aurait dû former à titre principal des conclusions portant sur ces deux questions. En ne le faisant pas, l'intimée avait volontairement renoncé au versement d'une contribution à son propre entretien. La jurisprudence ne lui permettait pas de s'épargner la prise d'une conclusion principale en versement d'une contribution à son propre entretien et de reléguer celle-ci au chapitre des conclusions subsidiaires. Elle aurait ainsi dû prendre une conclusion principale en versement d'une contribution à son entretien puis une conclusion subsidiaire visant à ce que cette même conclusion soit d'un montant supérieur pour l'éventualité où la contribution à l'entretien de l'enfant serait inférieure à celle envisagée. Par ses conclusions nos VI et XI, l'intimée avait au contraire indiqué au tribunal qu'elle renonçait au versement d'une contribution à son entretien pour autant que les coûts indirects de sa fille soient couverts. Or le jugement de première instance condamnait l'époux au paiement d'une contribution à l'entretien de la fille des parties couvrant entièrement ses coûts indirects, de sorte qu'il n'y avait pas lieu d'examiner la conclusion subsidiaire de l'intimée.</w:t>
      </w:r>
    </w:p>
    <w:p>
      <w:r>
        <w:rPr>
          <w:b/>
        </w:rPr>
        <w:t>E. 3.3</w:t>
      </w:r>
    </w:p>
    <w:p>
      <w:r>
        <w:t>Un tel point de vue ne saurait être suivi. S'il est vrai que le tribunal ne peut examiner des conclusions subsidiaires que lorsque les conclusions principales se révèlent infondées (DONZALLAZ, Commentaire de la LTF, art. 107, n° 4307 p. 1559 et la référence à un arrêt du Tribunal cantonal neuchâtelois du 1er juin 1970, publié in RJN 5 I 55, p. 60, et cité par BOHNET, in CPCN annoté, 2ème éd. 2005, n° 4 ad art. 56), force est de constater qu'en l'occurrence la conclusion litigieuse a été considérée comme partiellement infondée, respectivement fondée dans une moindre mesure que ce que l'intimée espérait. Un tel cas de figure justifie précisément la prise d'une conclusion subsidiaire (cf. ROGNON, Les conclusions, 1974, p. 57), comme la jurisprudence rappelée ci-dessus l'a spécifiquement énoncé en matière matrimoniale (cf. supra consid. 3.1). Le premier pan de l'argumentation du recourant tombe donc à faux.</w:t>
      </w:r>
    </w:p>
    <w:p>
      <w:r>
        <w:t>Pour le reste, le recourant oublie que le principe de disposition n'interdit pas au tribunal de déterminer le sens véritable des conclusions et de statuer sur cette base, plutôt que selon leur libellé inexact (arrêts 5A_657/2014 du 27 avril 2015 consid. 8.1; 5A_621/2012 du 20 mars 2013 consid. 4.3.1 et la référence); les conclusions doivent en effet être interprétées selon le principe de la confiance, à la lumière de la motivation de l'acte ( ATF 123 IV 125 consid. 1; 105 II 149 consid. 2a; 4A_375/2012 du 20 novembre 2012 consid. 1.2 non publié in ATF 139 III 24 et les références). Or, en l'occurrence, comme la cour cantonale l'a constaté à raison, il apparaît clairement que l'intimée a conclu à une contribution d'entretien de 1'550 fr. 20 par mois pour elle-même dans la mesure où une contribution de prise en charge d'un montant équivalent n'était pas allouée. Toute autre interprétation, qui reviendrait en définitive à ne pas tenir compte des conclusions subsidiaires de l'intimée, consacrerait un formalisme excessif prohibé par la jurisprudence (cf. ATF 137 III 617 consid. 6.2).</w:t>
      </w:r>
    </w:p>
    <w:p>
      <w:r>
        <w:t>Cela étant, il est admis que, pour décider si le juge a statué</w:t>
      </w:r>
    </w:p>
    <w:p>
      <w:r>
        <w:t>ultra petita , il faut comparer la somme globale accordée avec le montant des conclusions (arrêt 5A_667/2015 du 1er février 2016 consid. 6.1 et 6.2). En l'espèce, le jugement de première instance, confirmé en appel, a retenu une contribution de prise en charge d'un montant de 646 fr. 60 par mois et une pension post-divorce de 570 fr. par mois, ces montants étant dus jusqu'aux 16 ans révolus de l'enfant, respectivement jusqu'au 1er juin 2028. L'on ne saurait dès lors à l'évidence considérer que la juridiction cantonale aurait statué</w:t>
      </w:r>
    </w:p>
    <w:p>
      <w:r>
        <w:t>ultra petita au regard du montant de 1'550 fr. 20 réclamé par l'intimée. Par ailleurs, contrairement à ce que prétend le recourant, la prétention de l'épouse n'a pas été admise sur la base d'un "autre fondement": les juges précédents ont alloué un certain montant à titre de contribution de prise en charge, et un autre à titre de pension post-divorce, sur la base des conclusions prises séparément par l'épouse, l'une à titre principal, et l'autre dans l'éventualité où la première serait rejetée. Conformément à l'interprétation qui doit être donnée aux conclusions litigieuses, ce n'est que si l'intégralité du montant de la contribution de prise en charge avait été alloué qu'il n'y aurait alors plus eu lieu de statuer sur la conclusion subsidiaire en paiement d'une contribution post-divorce.</w:t>
      </w:r>
    </w:p>
    <w:p>
      <w:r>
        <w:rPr>
          <w:b/>
        </w:rPr>
        <w:t>E. 4</w:t>
      </w:r>
    </w:p>
    <w:p>
      <w:r>
        <w:t>En définitive, le recours doit être rejeté dans la mesure de sa recevabilité. Faute de chances de succès du recours, la demande d'assistance judiciaire doit être rejetée ( art. 64 al. 1 LTF ). Les frais judiciaires, arrêtés à 2'000 fr., sont donc mis à la charge du recourant, qui succombe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