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277/2017 vom 10. April 2017</w:t>
      </w:r>
    </w:p>
    <w:p>
      <w:r>
        <w:t>Bundesgericht, 2017-04-10, DE</w:t>
      </w:r>
    </w:p>
    <w:p>
      <w:r>
        <w:rPr>
          <w:b/>
        </w:rPr>
        <w:t xml:space="preserve">Quelle: </w:t>
      </w:r>
      <w:r>
        <w:t>https://mcp.opencaselaw.ch/entscheid/bger_5A_277_2017</w:t>
      </w:r>
    </w:p>
    <w:p>
      <w:r>
        <w:t>FR: TF 5A 277/2017 du 10 avril 2017</w:t>
      </w:r>
    </w:p>
    <w:p>
      <w:r>
        <w:t>IT: TF 5A 277/2017 del 10 aprile 2017</w:t>
      </w:r>
    </w:p>
    <w:p>
      <w:pPr>
        <w:pStyle w:val="Heading2"/>
      </w:pPr>
      <w:r>
        <w:t>Regeste</w:t>
      </w:r>
    </w:p>
    <w:p>
      <w:r>
        <w:t>Pfändungsabrechnung | Schuldbetreibungs- und Konkursrecht</w:t>
      </w:r>
    </w:p>
    <w:p>
      <w:pPr>
        <w:pStyle w:val="Heading2"/>
      </w:pPr>
      <w:r>
        <w:t>Erwägungen</w:t>
      </w:r>
    </w:p>
    <w:p>
      <w:r>
        <w:rPr>
          <w:b/>
        </w:rPr>
        <w:t>E. 1</w:t>
      </w:r>
    </w:p>
    <w:p>
      <w:r>
        <w:t>Am 28. November 2016 verfügte das Betreibungsamt U.________ die Pfändungsabrechnung in der Pfändung Nr. xxx (Betreibung Nr.yyy). Gemäss dieser Abrechnung resultierte aus der Pfändung für die betriebene Forderung von Fr. 44'020.45 ein Reinerlös von Fr. 9'780.05. Das Betreibungsamt zahlte der Gläubigerin Fr. 9'651.60 aus. Der Pfändungsverlust der Gläubigerin betrug Fr. 34'368.85. Das Bezirksgericht Affoltern wies am 6. Februar 2017 eine Aufsichtsbeschwerde des Schuldners (Beschwerdeführers) ab. Auf die dagegen gerichtete Beschwerde des Beschwerdeführers trat das Obergericht des Kantons Zürich mit Beschluss vom 20. März 2017 nicht ein. Am 7. April 2017 ist der Beschwerdeführer an das Bundesgericht gelangt.</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sind ( BGE 134 I 83 E. 3.2 S. 88).</w:t>
      </w:r>
    </w:p>
    <w:p>
      <w:r>
        <w:rPr>
          <w:b/>
        </w:rPr>
        <w:t>E. 3</w:t>
      </w:r>
    </w:p>
    <w:p>
      <w:r>
        <w:t>Soweit sich der Beschwerdeführer gegen das Urteil des Bezirksgerichts wendet, ist darauf von vornherein nicht einzutreten ( Art. 75 BGG ). Soweit er sich sinngemäss gegen den Beschluss des Obergerichts wendet, genügt seine Begründung den genannten Anforderungen nicht. Vor Obergericht machte der Beschwerdeführer geltend, die Forderung der Gläubigerin habe nicht bestanden und es sei gerichtlich bewiesen, dass er nichts schulde. Das Obergericht hat erwogen, der Beschwerdeführer sei - zum wiederholten Mal - seiner Begründungspflicht nicht nachgekommen. Er habe sich nicht mit der zutreffenden - und ihm aus einem früheren Beschwerdeverfahren betreffend dieselbe Betreibung/Pfändung bekannten - Erwägung des Bezirksgerichts befasst, dass es nicht zur Prüfung des Bestands der betriebenen Forderung zuständig sei. Der Beschwerdeführer setzt sich vor Bundesgericht mit diesen Erwägungen des Obergerichts nicht auseinander, sondern wiederholt im Wesentlichen seine kantonale Beschwerde.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Verfahrensausgang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