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5A_276/2017 vom 12. April 2017</w:t>
      </w:r>
    </w:p>
    <w:p>
      <w:r>
        <w:t>Bundesgericht, 2017-04-12, DE</w:t>
      </w:r>
    </w:p>
    <w:p>
      <w:r>
        <w:rPr>
          <w:b/>
        </w:rPr>
        <w:t xml:space="preserve">Quelle: </w:t>
      </w:r>
      <w:r>
        <w:t>https://mcp.opencaselaw.ch/entscheid/bger_5A_276_2017</w:t>
      </w:r>
    </w:p>
    <w:p>
      <w:r>
        <w:t>FR: TF 5A_276/2017 du 12 avril 2017</w:t>
      </w:r>
    </w:p>
    <w:p>
      <w:r>
        <w:t>IT: TF 5A_276/2017 del 12 aprile 2017</w:t>
      </w:r>
    </w:p>
    <w:p>
      <w:pPr>
        <w:pStyle w:val="Heading2"/>
      </w:pPr>
      <w:r>
        <w:t>Erwägungen</w:t>
      </w:r>
    </w:p>
    <w:p>
      <w:r>
        <w:rPr>
          <w:b/>
        </w:rPr>
        <w:t>E. 1</w:t>
      </w:r>
    </w:p>
    <w:p>
      <w:r>
        <w:t>Angefochten ist der kantonal letztinstanzliche Entscheid betreffend eine Grundbuchberichtigungsklage mit Fr. 30'000.-- übersteigendem Streitwert; die Beschwerde in Zivilsachen steht grundsätzlich offen ( Art. 72 Abs. 1, Art. 75 Abs. 1 und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Diese Voraussetzungen erfüllt die Eingabe nicht. Sie enthält keine richtigen Anträge und der Beschwerdeführer setzt sich nicht mit dem angefochtenen Entscheid auseinander, welcher sich zu den gesetzlichen Grundlagen sowie der Höhe des Kostenvorschusses ebenso äussert wie zu den fehlenden Wiedererwägungsgründen bzw. der nach wie vor bestehenden Aussichtslosigkeit des Grundbuchberichtigungs- bzw. Rückübertragungsprozesses.</w:t>
      </w:r>
    </w:p>
    <w:p>
      <w:r>
        <w:t>Vielmehr schildert er wie bereits in vielen anderen Verfahren (zuletzt Urteile 5A_222/2017 und 5A_224/2017 vom 29. März 2017), wie er durch das organisierte Zusammenwirken der beteiligten Behörden und Gerichte sowie der Bank B.________ geschädigt worden sei und die Enteignung seines Familienunternehmens sowie der begangene Landraub trotz der zwischenzeitlich weit über 100 von ihm eingeleiteten Verfahren nicht aufgearbeitet würden.</w:t>
      </w:r>
    </w:p>
    <w:p>
      <w:r>
        <w:t>Mangels hinreichender Begründung ist ebenso wenig einzutreten auf das sinngemässe Ablehnungsbegehren gegen den angeblich befangenen Präsidenten des Obergerichts. Zum einen fehlt es an einem diesbezüglichen selbständigen Entscheid im Sinn von Art. 92 Abs. 1 BGG . Zum anderen wird die angebliche Befangenheit pauschal aus dessen Mittäterschaft an der organisierten Kriminalität im Zusammenhang mit der rechtswidrigen Enteignung und dem Verbrechen "Landraub" sowie mit dem Konkurs abgeleitet, ohne dass auch nur ansatzweise gesetzliche Befangenheitsgründe konkretisiert würden. Soweit auch Oberrichterin C.________ als befangen erklärt wird, ist zusätzlich festzuhalten, dass diese am angefochtenen Entscheid gar nicht mitgewirkt hat.</w:t>
      </w:r>
    </w:p>
    <w:p>
      <w:r>
        <w:rPr>
          <w:b/>
        </w:rPr>
        <w:t>E. 3</w:t>
      </w:r>
    </w:p>
    <w:p>
      <w:r>
        <w:t>Nach dem Gesagten erweist sich die Beschwerde als offensichtlich unzureichend begründet und im Übrigen auch als querulatorisch, weshalb auf sie nicht eingetreten werden kann und der Präsident im vereinfachten Verfahren entscheidet ( Art. 108 Abs. 1 lit. b und c BGG ).</w:t>
      </w:r>
    </w:p>
    <w:p>
      <w:r>
        <w:rPr>
          <w:b/>
        </w:rPr>
        <w:t>E. 4</w:t>
      </w:r>
    </w:p>
    <w:p>
      <w:r>
        <w:t>Wie die vorstehenden Erwägungen zeigen, konnte auch der Beschwerde an das Bundesgericht von Anfang an kein Erfolg beschieden sein, weshalb es an den materiellen Voraussetzungen für die unentgeltliche Rechtspflege fehlt ( Art. 64 Abs. 1 BGG ) und das betreffende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