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5A_272/2021 vom 15. April 2021</w:t>
      </w:r>
    </w:p>
    <w:p>
      <w:r>
        <w:t>Bundesgericht, 2021-04-15, DE</w:t>
      </w:r>
    </w:p>
    <w:p>
      <w:r>
        <w:rPr>
          <w:b/>
        </w:rPr>
        <w:t xml:space="preserve">Quelle: </w:t>
      </w:r>
      <w:r>
        <w:t>https://mcp.opencaselaw.ch/entscheid/bger_5A_272_2021</w:t>
      </w:r>
    </w:p>
    <w:p>
      <w:r>
        <w:t>FR: TF 5A_272/2021 du 15 avril 2021</w:t>
      </w:r>
    </w:p>
    <w:p>
      <w:r>
        <w:t>IT: TF 5A_272/2021 del 15 aprile 2021</w:t>
      </w:r>
    </w:p>
    <w:p>
      <w:pPr>
        <w:pStyle w:val="Heading2"/>
      </w:pPr>
      <w:r>
        <w:t>Erwägungen</w:t>
      </w:r>
    </w:p>
    <w:p>
      <w:r>
        <w:rPr>
          <w:b/>
        </w:rPr>
        <w:t>E. 1</w:t>
      </w:r>
    </w:p>
    <w:p>
      <w:r>
        <w:t>Vor dem Hintergrund, dass es primär um das Besuchsrecht an den Ostertagen ging, stellt sich die Frage, ob überhaupt ein schutzwürdiges Interesse an einem Entscheid besteht ( Art. 76 Abs. 1 lit. b BGG ). Dies kann vor dem Hintergrund der nachfolgenden Ausführungen offen bleiben.</w:t>
      </w:r>
    </w:p>
    <w:p>
      <w:r>
        <w:rPr>
          <w:b/>
        </w:rPr>
        <w:t>E. 2</w:t>
      </w:r>
    </w:p>
    <w:p>
      <w:r>
        <w:t>So oder anders geht es um die Frage der aufschiebenden Wirkung und damit um eine vorsorgliche Regelung ( BGE 134 II 192 E. 1.5 S. 197; 137 III 475 E. 2 S. 477; aus den unpublizierten Entscheiden statt vieler: Urteil 5A_815/2019 vom 6. März 2020 E. 2.1), welche unter Art. 98 BGG fällt; darauf wird in der Rechtsmittelbelehrung zutreffend hingewiesen. Mithin kann vor Bundesgericht nur die Verletzung verfassungsmässiger Rechte geltend gemacht werden, wofür das strenge Rügeprinzip im Sinn von Art. 106 Abs. 2 BGG gilt. Das bedeutet, dass das Bundesgericht nur klar und detailliert erhobene und soweit möglich belegte Rügen prüft, während es auf ungenügend begründete Rügen und rein appellatorische Kritik am angefochtenen Entscheid nicht eintritt ( BGE 134 II 244 E. 2.2 S. 246 ; 141 I 36 E. 1.3 S. 41; 142 II 369 E. 2.1 S. 372; 142 III 364 E. 2.4 S. 368).</w:t>
      </w:r>
    </w:p>
    <w:p>
      <w:r>
        <w:rPr>
          <w:b/>
        </w:rPr>
        <w:t>E. 3</w:t>
      </w:r>
    </w:p>
    <w:p>
      <w:r>
        <w:t>Die Beschwerdebegründung genügt diesen Voraussetzungen nicht. Es wird zwar eine Verletzung von Art. 29 Abs. 2 BV angerufen, aber nicht substanziiert dargetan, worin diese bestehen soll. Im Übrigen erfolgen bloss appellatorische Anschuldigungen. Eine Auseinandersetzung mit den Erwägungen der angefochtenen Verfügung findet nicht ansatzweise statt.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