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271/2023 vom 5. April 2023</w:t>
      </w:r>
    </w:p>
    <w:p>
      <w:r>
        <w:t>Bundesgericht, 2023-04-05, DE</w:t>
      </w:r>
    </w:p>
    <w:p>
      <w:r>
        <w:rPr>
          <w:b/>
        </w:rPr>
        <w:t xml:space="preserve">Quelle: </w:t>
      </w:r>
      <w:r>
        <w:t>https://mcp.opencaselaw.ch/entscheid/bger_5A_271_2023</w:t>
      </w:r>
    </w:p>
    <w:p>
      <w:r>
        <w:t>FR: TF 5A 271/2023 du 5 avril 2023</w:t>
      </w:r>
    </w:p>
    <w:p>
      <w:r>
        <w:t>IT: TF 5A 271/2023 del 5 aprile 2023</w:t>
      </w:r>
    </w:p>
    <w:p>
      <w:pPr>
        <w:pStyle w:val="Heading2"/>
      </w:pPr>
      <w:r>
        <w:t>Regeste</w:t>
      </w:r>
    </w:p>
    <w:p>
      <w:r>
        <w:t>Gesuch um Erlass superprovisorischer Massnahmen (Kindesrückführung) | Familienrecht</w:t>
      </w:r>
    </w:p>
    <w:p>
      <w:pPr>
        <w:pStyle w:val="Heading2"/>
      </w:pPr>
      <w:r>
        <w:t>Erwägungen</w:t>
      </w:r>
    </w:p>
    <w:p>
      <w:r>
        <w:rPr>
          <w:b/>
        </w:rPr>
        <w:t>E. 1</w:t>
      </w:r>
    </w:p>
    <w:p>
      <w:r>
        <w:t>Das Bundesgericht kann nicht auf allgemeine Anliegen eintreten, sondern ausschliesslich Beschwerden gegen kantonal letztinstanzliche Urteile behandeln ( Art. 75 Abs. 1 BGG ). Aus diesem Grund bedürfen Gesuche um aufschiebende Wirkung ( Art. 103 BGG ) oder um Erlass vorsorglicher Massnahmen ( Art. 104 BGG ) sowie diesbezügliche Anträge auf Erlass superprovisorischer Massnahmen der vorgängigen oder gleichzeitigen Erhebung einer Beschwerde gegen das kantonal letztinstanzliche Urteil. Es ist formell eine Beschwerde einzureichen, wobei diesbezüglich eine Kurzbegründung genügt, und in deren Rahmen sodann superprovisorisch die aufschiebende Wirkung oder der Erlass vorsorglicher Massnahmen zu verlangen (vgl. BGE 143 III 193 E. 6.3). Weil vorliegend noch keine Beschwerde erhoben, sondern eine solche bloss angekündigt wird und somit momentan kein Beschwerdeverfahren hängig ist, kann auf das Gesuch um Erlass superprovisorischer Massnahmen nicht eingetreten werden.</w:t>
      </w:r>
    </w:p>
    <w:p>
      <w:r>
        <w:rPr>
          <w:b/>
        </w:rPr>
        <w:t>E. 2</w:t>
      </w:r>
    </w:p>
    <w:p>
      <w:r>
        <w:t>Der Vollständigkeit halber sei festgehalten, dass diesem auch bei gleichzeitiger Beschwerdeführung kein Erfolg hätte beschieden sein können: Die Antragstellerin macht geltend, das Urteil sei heute Vormittag mündlich erläutert und in schriftlicher Ausfertigung eröffnet worden und der Rückflug sei auf heute 18 Uhr gebucht. Eine solche Vollstreckung vor Rechtskraft des Urteils sei weder im Haager Kindesentführungsübereinkommen noch im BG-KKE vorgesehen und es sei somit Art. 336 ZPO anwendbar, wonach die Vollstreckbarkeit erst eintrete, wenn ein Entscheid rechtskräftig sei. Sie habe für die beiden Kinder in der Schweiz einen Asylantrag gestellt, da Schutz vor den kroatischen Behörden gesucht werde. Als Teil des humanitären Völkerrechts geniesse das Asylverfahren Vorrang vor Kindesrückführungen. Das Zürcher Obergericht ordnet, wie dem Bundesgericht bekannt ist, in klaren und begründeten Rückführungsfällen den sofortigen Vollzug an. Diese Praxis wird seitens des Bundesgerichtes vom Grundsatz her geschützt und ist mit dem BG-KKE vereinbar (Urteil 5A_623/2015 vom 7. September 2015 E. 2 in fine). Das Obergericht hat den sofortigen Vollzug seines Urteils ausführlich begründet. Die Kinder sind einem ausserordentlich schweren Loyalitätskonflikt ausgesetzt und werden bzw. wurden von der Mutter stark indoktriniert. Eine weitere Ungewissheit und Platzierung ist mit dem übergeordneten Kindeswohl kaum vereinbar und der sofortige Vollzug deshalb im Sinn von Art. 12 Abs. 2 BG-KKE . Daran vermag auch der für die Kinder gestellte Asylantrag nichts zu ändern, umso weniger als keine Asylgründe greifbar sind.</w:t>
      </w:r>
    </w:p>
    <w:p>
      <w:r>
        <w:rPr>
          <w:b/>
        </w:rPr>
        <w:t>E. 3</w:t>
      </w:r>
    </w:p>
    <w:p>
      <w:r>
        <w:t>Nach dem Gesagten ist auf das Gesuch um Erlass vorsorglicher Massnahmen nicht einzutreten und wäre es im Übrigen auch materiell nicht begründet.</w:t>
      </w:r>
    </w:p>
    <w:p>
      <w:r>
        <w:rPr>
          <w:b/>
        </w:rPr>
        <w:t>E. 4</w:t>
      </w:r>
    </w:p>
    <w:p>
      <w:r>
        <w:t>Im Zusammenhang mit Rückführungsverfahren werden keine Gerichtskosten erhoben (Art. 26 Abs. 2 HKÜ). Indes ist die Ausrichtung von Entschädigungen nicht möglich, weil das Gesuch ausserhalb eines Beschwerdeverfahrens erhoben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