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5A_270/2024 vom 2. Mai 2024</w:t>
      </w:r>
    </w:p>
    <w:p>
      <w:r>
        <w:t>Bundesgericht, 2024-05-02, FR</w:t>
      </w:r>
    </w:p>
    <w:p>
      <w:r>
        <w:rPr>
          <w:b/>
        </w:rPr>
        <w:t xml:space="preserve">Quelle: </w:t>
      </w:r>
      <w:r>
        <w:t>https://mcp.opencaselaw.ch/entscheid/bger_5A_270_2024</w:t>
      </w:r>
    </w:p>
    <w:p>
      <w:r>
        <w:t>FR: TF 5A_270/2024 du 2 mai 2024</w:t>
      </w:r>
    </w:p>
    <w:p>
      <w:r>
        <w:t>IT: TF 5A_270/2024 del 2 maggio 2024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mars 2024 , de sorte que le délai de recours - de trente jours ( art. 100 al. 1 LTF ) - est parvenu a échéance le</w:t>
      </w:r>
    </w:p>
    <w:p>
      <w:r>
        <w:t>26 avril 2024 ;</w:t>
      </w:r>
    </w:p>
    <w:p>
      <w:r>
        <w:t>que, déposé le</w:t>
      </w:r>
    </w:p>
    <w:p>
      <w:r>
        <w:rPr>
          <w:b/>
        </w:rPr>
        <w:t>E. 29</w:t>
      </w:r>
    </w:p>
    <w:p>
      <w:r>
        <w:t>avril 2024 , le présent recours s'avère tardif, partant irrecevable ( art. 108 al. 1 let. a LTF );</w:t>
      </w:r>
    </w:p>
    <w:p>
      <w:r>
        <w:t>que, au demeurant, le mémoire ne comporte pas de griefs de nature constitutionnelle régulièrement motivés ( art. 106 al. 2 LTF ; ATF 135 III 232 consid. 1.2, avec la jurisprudence citée);</w:t>
      </w:r>
    </w:p>
    <w:p>
      <w:r>
        <w:t>que les frais judiciaires incombent aux recourants, solidairement entre eux ( art. 66 al. 1 et 5 LTF );</w:t>
      </w:r>
    </w:p>
    <w:p>
      <w:r>
        <w:t>que le présent arrêt rend sans objet la requête d'effet suspensif;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