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26/2011 vom 30. Mai 2011</w:t>
      </w:r>
    </w:p>
    <w:p>
      <w:r>
        <w:t>Bundesgericht, 2011-05-30, FR</w:t>
      </w:r>
    </w:p>
    <w:p>
      <w:r>
        <w:rPr>
          <w:b/>
        </w:rPr>
        <w:t xml:space="preserve">Quelle: </w:t>
      </w:r>
      <w:r>
        <w:t>https://mcp.opencaselaw.ch/entscheid/bger_5A_26_2011</w:t>
      </w:r>
    </w:p>
    <w:p>
      <w:r>
        <w:t>FR: TF 5A 26/2011 du 30 mai 2011</w:t>
      </w:r>
    </w:p>
    <w:p>
      <w:r>
        <w:t>IT: TF 5A 26/2011 del 30 maggio 2011</w:t>
      </w:r>
    </w:p>
    <w:p>
      <w:pPr>
        <w:pStyle w:val="Heading2"/>
      </w:pPr>
      <w:r>
        <w:t>Regeste</w:t>
      </w:r>
    </w:p>
    <w:p>
      <w:r>
        <w:t>procès-verbal de séquestre | Droit des poursuites et faillites</w:t>
      </w:r>
    </w:p>
    <w:p>
      <w:pPr>
        <w:pStyle w:val="Heading2"/>
      </w:pPr>
      <w:r>
        <w:t>Erwägungen</w:t>
      </w:r>
    </w:p>
    <w:p>
      <w:r>
        <w:rPr>
          <w:b/>
        </w:rPr>
        <w:t>E. 1.1</w:t>
      </w:r>
    </w:p>
    <w:p>
      <w:r>
        <w:t>Interjeté dans le délai de dix jours ( art. 100 al. 2 let. a LTF ), compte tenu de la suspension de l' art. 46 al. 1 let . c LTF, contre une décision finale ( art. 90 LTF ; ATF 133 III 350 consid. 1.2) rendue en matière de poursuite pour dettes et de faillite ( art. 72 al. 2 let. a LTF ) par une autorité cantonale de surveillance ayant statué en dernière (unique) instance ( art. 75 al. 1 LTF ; cf. arrêt 5A_623/2008 du 29 octobre 2008 consid. 1.3), le recours est en principe recevable, indépendamment de la valeur litigieuse ( art. 74 al. 2 let . c LTF).</w:t>
      </w:r>
    </w:p>
    <w:p>
      <w:r>
        <w:rPr>
          <w:b/>
        </w:rPr>
        <w:t>E. 1.2</w:t>
      </w:r>
    </w:p>
    <w:p>
      <w:r>
        <w:t>Le recours tend fondamentalement, comme la plainte en instance cantonale, à la constatation de la validité de la notification intervenue en l'étude du conseil de la débitrice. C'est l'objet du litige ("Streitgegenstand"), la date exacte de la notification ne constituant en l'espèce qu'une question accessoire. La recourante allègue à ce propos que c'est à la lecture de la décision entreprise qu'elle a appris que le procès-verbal était parvenu au conseil de la débitrice le 31 août 2010 déjà et non, comme pour elle, le lendemain 1er septembre 2010. Le chef de conclusions modifié sur ce point ne saurait donc être considéré comme une conclusion nouvelle, mais comme une précision apportée en cours de procédure, admissible au regard de l' art. 99 al. 2 LTF (cf. ATF 133 II 30 consid. 2; arrêt 1A_190/2006 du 11 juin 2007 consid. 6).</w:t>
      </w:r>
    </w:p>
    <w:p>
      <w:r>
        <w:rPr>
          <w:b/>
        </w:rPr>
        <w:t>E. 1.3</w:t>
      </w:r>
    </w:p>
    <w:p>
      <w:r>
        <w:t>La recourante justifie d'un intérêt digne de protection au sens de l' art. 76 al. 1 let. b LTF à faire constater la date de la notification du procès-verbal de séquestre puisque c'est de cette date que court le délai d'opposition à l'ordonnance de séquestre ( art. 278 LP ). En revanche, elle ne justifie pas d'un tel intérêt, actuel et concret, à faire constater qu'il n'y a pas lieu de procéder à la notification prévue à l' art. 66 al. 3 LP , dès lors que cette notification a déjà été exécutée. Le chef de conclusions concernant ce point est donc irrecevable.</w:t>
      </w:r>
    </w:p>
    <w:p>
      <w:r>
        <w:rPr>
          <w:b/>
        </w:rPr>
        <w:t>E. 1.4</w:t>
      </w:r>
    </w:p>
    <w:p>
      <w:r>
        <w:t>Le Tribunal fédéral applique d'office le droit ( art. 106 al. 1 LTF ) à l'état de fait constaté dans l'arrêt cantonal ou à l'état de fait qu'il aura rectifié et complété conformément à l' art. 105 al. 2 LTF . Il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il n'examine pas toutes les questions juridiques qui peuvent se poser, mais seulement celles qui sont soulevées devant lui ( ATF 133 III 545 consid. 2.2).</w:t>
      </w:r>
    </w:p>
    <w:p>
      <w:r>
        <w:rPr>
          <w:b/>
        </w:rPr>
        <w:t>E. 2</w:t>
      </w:r>
    </w:p>
    <w:p>
      <w:r>
        <w:t>Selon l' art. 34 al. 3 CO , lorsque le représenté a fait connaître les pouvoirs qu'il a conférés au représentant, ce qui s'exprime notamment, comme en l'espèce, au moyen d'une procuration fournie par le représentant au tiers (arrêt 4C.380/2004 du 31 mai 2005 consid. 3.2.1 et les références citées), il ne peut en opposer aux tiers de bonne foi la révocation totale ou partielle que s'il a également fait connaître cette révocation. Cette règle a une portée générale, qui dépasse le droit privé et s'applique en particulier en droit de procédure (cf. arrêt 6B_797/2008 du 11 octobre 2008 consid. 1.1). Dans le cas particulier, il est constant que l'office a été avisé de l'existence d'un tel pouvoir de représentation et qu'il a été expressément invité à communiquer une copie de l'ordonnance et du procès-verbal de séquestre au représentant. Lorsqu'il a fait cette communication, par pli recommandé du 30 août 2010, aucune révocation n'avait été portée à sa connaissance. La notification du procès-verbal de séquestre est donc valablement intervenue le 31 août 2010, au moment où le pli en question, distribué dans la case postale du représentant, a été retiré au guichet postal ( ATF 100 III 3 ). Contrairement à ce que retiennent l'office et l'autorité cantonale de surveillance, il ne pouvait y avoir de doute quant à la validité de la notification du procès-verbal de séquestre en mains du mandataire. La révocation par la débitrice des pouvoirs conférés à son représentant ayant été communiquée postérieurement à cette notification, elle ne pouvait ni invalider cette dernière, ni être opposée à l'office et à la recourante en vertu de l' art. 34 al. 3 CO . Comme le relève à juste titre la recourante, le fait que le pouvoir de représentation aurait été révoqué le 26 août 2010 déjà n'y change rien, attendu que cette prétendue révocation n'a été communiquée ni à l'office ni à la recourante avant la notification du procès-verbal de séquestre. Au vu de ce qui précède, il y a lieu d'admettre, dans la mesure de leur recevabilité, les conclusions principales du recours ( art. 107 al. 2 LTF ).</w:t>
      </w:r>
    </w:p>
    <w:p>
      <w:r>
        <w:rPr>
          <w:b/>
        </w:rPr>
        <w:t>E. 3</w:t>
      </w:r>
    </w:p>
    <w:p>
      <w:r>
        <w:t>En règle générale, les frais judiciaires et les dépens sont mis à la charge de la partie qui succombe (art. 66 al. 1, 68 al. 1 et 2 LTF). En l'espèce, l'intimée n'a pas du tout procédé et donc pas formellement conclu au rejet du recours (cf. ATF 119 Ia consid. 6b). Elle n'a pas davantage provoqué la décision attaquée, qui est consécutive à une plainte de la recourante contre une mesure de l'office jugée contraire à la loi ou non justifiée en fait ( art. 17 al. 1 LP ), plainte sur laquelle elle a renoncé à se déterminer. L'intimée ne saurait dès lors être assimilée à une partie qui succombe au sens des dispositions susmentionnées (cf. arrêts 5A_465/2010 du 21 octobre 2010 consid. 3 et 5A_276/2010 du 10 août 2010 consid. 3). Les frais judiciaires ne pouvant être mis à la charge du canton en vertu de l' art. 66 al. 4 LTF , il y a lieu de renoncer à en percevoir. Le canton doit en revanche supporter les dépens alloués à la recourante (cf. arrêts 5A_465/2010 et 5A_276/2010 précités).</w:t>
      </w:r>
    </w:p>
    <w:p>
      <w:r>
        <w:rPr>
          <w:b/>
        </w:rPr>
        <w:t>E. 4</w:t>
      </w:r>
    </w:p>
    <w:p>
      <w:r>
        <w:t>L'intimée n'ayant pas donné suite à l'injonction qui lui a été adressée d'avoir à élire en Suisse un domicile de notification ( art. 39 al. 3 LTF ), il n'y a pas lieu de lui notifier le présent arrêt aux Pays-Bas, l'exemplaire qui lui est destiné étant conservé au dossier,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