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5A_269/2021 vom 15. April 2021</w:t>
      </w:r>
    </w:p>
    <w:p>
      <w:r>
        <w:t>Bundesgericht, 2021-04-15, DE</w:t>
      </w:r>
    </w:p>
    <w:p>
      <w:r>
        <w:rPr>
          <w:b/>
        </w:rPr>
        <w:t xml:space="preserve">Quelle: </w:t>
      </w:r>
      <w:r>
        <w:t>https://mcp.opencaselaw.ch/entscheid/bger_5A_269_2021</w:t>
      </w:r>
    </w:p>
    <w:p>
      <w:r>
        <w:t>FR: TF 5A_269/2021 du 15 avril 2021</w:t>
      </w:r>
    </w:p>
    <w:p>
      <w:r>
        <w:t>IT: TF 5A_269/2021 del 15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von der Vorinstanz festgestellte Sachverhalt ist für das Bundesgericht grundsätzlich verbindlich ( Art. 105 Abs. 1 BGG ). Diesbezüglich kann nur eine willkürliche Sachverhaltsfeststellung gerügt werden, für welche das strenge Rügeprinzip gilt (Art. 97 Abs. 1 i.V.m. Art. 106 Abs. 2 BGG ; BGE 140 III 264 E. 2.3 S. 266). Die appellatorische Behauptung, die Zustellungs- bzw. Aufgabedaten seien manipuliert und frei erfunden, ist somit nicht zu hören. Von vornherein nicht einzutreten ist sodann auf die in diesem Zusammenhang erhobenen Korruptionsvorwürde gegenüber der KESB und dem Obergericht; das Bundesgericht ist keine Aufsichtsbehörde über kantonale Instanzen.</w:t>
      </w:r>
    </w:p>
    <w:p>
      <w:r>
        <w:rPr>
          <w:b/>
        </w:rPr>
        <w:t>E. 2</w:t>
      </w:r>
    </w:p>
    <w:p>
      <w:r>
        <w:t>In rechtlicher Hinsicht ist Folgendes festzuhalten: Gestützt auf Art. 450f ZGB kam kantonales Verfahrensrecht zur Anwendung, vorliegend das KESG/BE, namentlich Art. 65 ff. KESG/BE, und gestützt auf Art. 72 KESG/BE subsidiär das VRPG/BE. Die Verletzung kantonalen Rechts kann das Bundesgericht nur im Zusammenhang mit einer Verletzung verfassungsmässiger Rechte prüfen, wobei die Rüge im Vordergrund steht, dass das kantonale Recht willkürlich angewandt worden sei ( BGE 139 III 225 E. 2.3 S. 231; 139 III 252 E. 1.4 S. 254; 142 II 369 E. 2.1 S. 372). Solche Rügen finden sich in der Beschwerdebegründung nicht.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