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267/2024 vom 1. Mai 2024</w:t>
      </w:r>
    </w:p>
    <w:p>
      <w:r>
        <w:t>Bundesgericht, 2024-05-01, DE</w:t>
      </w:r>
    </w:p>
    <w:p>
      <w:r>
        <w:rPr>
          <w:b/>
        </w:rPr>
        <w:t xml:space="preserve">Quelle: </w:t>
      </w:r>
      <w:r>
        <w:t>https://mcp.opencaselaw.ch/entscheid/bger_5A_267_2024</w:t>
      </w:r>
    </w:p>
    <w:p>
      <w:r>
        <w:t>FR: TF 5A 267/2024 du 1 mai 2024</w:t>
      </w:r>
    </w:p>
    <w:p>
      <w:r>
        <w:t>IT: TF 5A 267/2024 del 1 maggio 2024</w:t>
      </w:r>
    </w:p>
    <w:p>
      <w:pPr>
        <w:pStyle w:val="Heading2"/>
      </w:pPr>
      <w:r>
        <w:t>Regeste</w:t>
      </w:r>
    </w:p>
    <w:p>
      <w:r>
        <w:t>Anpassung der Beistandschaft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 Diese haben sich im Übrigen auf die Nichteintretensfrage zu beschränken ( BGE 135 II 38 E. 1.2; 139 II 233 E. 3.2), denn der Anfechtungsgegenstand kann im Verlauf des Rechtsmittelverfahrens nicht ausgedehnt werden.</w:t>
      </w:r>
    </w:p>
    <w:p>
      <w:r>
        <w:rPr>
          <w:b/>
        </w:rPr>
        <w:t>E. 2</w:t>
      </w:r>
    </w:p>
    <w:p>
      <w:r>
        <w:t>Der Beschwerdeführer verlangt die Aufhebung der Beistandschaft und die Verleihung des Bürgerrechts der Gemeinde U.________. Er äussert sich in schwer leserlicher Weise zu seiner Wohn- und zu seiner persönlichen Situation (er sei seit Jahren ohne Alkohol, treibe Sport und lese verschiedene Tageszeitungen) und zählt Personen auf, zu denen er seit zehn Jahren keinen Kontakt mehr habe.</w:t>
      </w:r>
    </w:p>
    <w:p>
      <w:r>
        <w:rPr>
          <w:b/>
        </w:rPr>
        <w:t>E. 3</w:t>
      </w:r>
    </w:p>
    <w:p>
      <w:r>
        <w:t>Sowohl die Rechtsbegehren als auch die Ausführungen stehen ausserhalb des möglichen Anfechtungsgegenstandes, weshalb auf die Beschwerde im vereinfachten Verfahren nach Art. 108 Abs. 1 lit. a und b BGG nicht einzutreten ist.</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